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66D55" w14:textId="77777777" w:rsidR="00776D47" w:rsidRDefault="00776D47" w:rsidP="00776D47">
      <w:pPr>
        <w:jc w:val="center"/>
        <w:rPr>
          <w:b/>
          <w:sz w:val="24"/>
        </w:rPr>
      </w:pPr>
    </w:p>
    <w:p w14:paraId="2C766E0E" w14:textId="74041DC1" w:rsidR="00776D47" w:rsidRPr="00EB4DB4" w:rsidRDefault="00776D47" w:rsidP="00776D47">
      <w:pPr>
        <w:jc w:val="center"/>
        <w:rPr>
          <w:b/>
          <w:sz w:val="24"/>
        </w:rPr>
      </w:pPr>
      <w:r>
        <w:rPr>
          <w:b/>
          <w:sz w:val="24"/>
        </w:rPr>
        <w:t xml:space="preserve">Women Enabled International Contribution to the General Discussion Regarding the Human Rights Committee’s </w:t>
      </w:r>
      <w:r w:rsidRPr="00FC43E8">
        <w:rPr>
          <w:b/>
          <w:sz w:val="24"/>
        </w:rPr>
        <w:t>General Comment</w:t>
      </w:r>
      <w:r>
        <w:rPr>
          <w:b/>
          <w:sz w:val="24"/>
        </w:rPr>
        <w:t xml:space="preserve"> No. 36</w:t>
      </w:r>
      <w:r w:rsidR="004B34CC">
        <w:rPr>
          <w:b/>
          <w:sz w:val="24"/>
        </w:rPr>
        <w:t xml:space="preserve"> – </w:t>
      </w:r>
      <w:r>
        <w:rPr>
          <w:b/>
          <w:sz w:val="24"/>
        </w:rPr>
        <w:t>Article 6</w:t>
      </w:r>
      <w:r w:rsidRPr="00FC43E8">
        <w:rPr>
          <w:b/>
          <w:sz w:val="24"/>
        </w:rPr>
        <w:t xml:space="preserve">: Right to </w:t>
      </w:r>
      <w:r>
        <w:rPr>
          <w:b/>
          <w:sz w:val="24"/>
        </w:rPr>
        <w:t>L</w:t>
      </w:r>
      <w:r w:rsidRPr="00FC43E8">
        <w:rPr>
          <w:b/>
          <w:sz w:val="24"/>
        </w:rPr>
        <w:t>ife</w:t>
      </w:r>
    </w:p>
    <w:p w14:paraId="5668E6D3" w14:textId="77777777" w:rsidR="00776D47" w:rsidRPr="00566C1D" w:rsidRDefault="00776D47" w:rsidP="00776D47">
      <w:pPr>
        <w:pStyle w:val="ListParagraph"/>
        <w:numPr>
          <w:ilvl w:val="0"/>
          <w:numId w:val="13"/>
        </w:numPr>
        <w:rPr>
          <w:b/>
          <w:sz w:val="24"/>
        </w:rPr>
      </w:pPr>
      <w:r w:rsidRPr="00566C1D">
        <w:rPr>
          <w:b/>
          <w:sz w:val="24"/>
        </w:rPr>
        <w:t>Introduction</w:t>
      </w:r>
    </w:p>
    <w:p w14:paraId="116C2165" w14:textId="7CE9B651" w:rsidR="00776D47" w:rsidRDefault="004248B9" w:rsidP="00776D47">
      <w:pPr>
        <w:rPr>
          <w:sz w:val="24"/>
        </w:rPr>
      </w:pPr>
      <w:hyperlink r:id="rId9" w:history="1">
        <w:r w:rsidR="00776D47" w:rsidRPr="00831ECA">
          <w:rPr>
            <w:rStyle w:val="Hyperlink"/>
            <w:sz w:val="24"/>
          </w:rPr>
          <w:t>Women Enabled International</w:t>
        </w:r>
      </w:hyperlink>
      <w:r w:rsidR="00776D47">
        <w:rPr>
          <w:sz w:val="24"/>
        </w:rPr>
        <w:t xml:space="preserve"> (</w:t>
      </w:r>
      <w:r w:rsidR="00776D47" w:rsidRPr="00705735">
        <w:rPr>
          <w:sz w:val="24"/>
        </w:rPr>
        <w:t>WEI</w:t>
      </w:r>
      <w:r w:rsidR="00776D47">
        <w:rPr>
          <w:sz w:val="24"/>
        </w:rPr>
        <w:t>) appreciates the opportunity to provide comments in preparation for the Human Rights Committee’s</w:t>
      </w:r>
      <w:r w:rsidR="004B34CC">
        <w:rPr>
          <w:sz w:val="24"/>
        </w:rPr>
        <w:t xml:space="preserve"> Day of General Discussion on General Comment No. 36 – </w:t>
      </w:r>
      <w:r w:rsidR="00776D47">
        <w:rPr>
          <w:sz w:val="24"/>
        </w:rPr>
        <w:t xml:space="preserve">Article 6: Right to Life. </w:t>
      </w:r>
      <w:r w:rsidR="00776D47" w:rsidRPr="00705735">
        <w:rPr>
          <w:sz w:val="24"/>
        </w:rPr>
        <w:t>WEI</w:t>
      </w:r>
      <w:r w:rsidR="00776D47">
        <w:rPr>
          <w:sz w:val="24"/>
        </w:rPr>
        <w:t xml:space="preserve"> </w:t>
      </w:r>
      <w:r w:rsidR="00776D47" w:rsidRPr="003A0FE4">
        <w:rPr>
          <w:sz w:val="24"/>
        </w:rPr>
        <w:t>advocates and educates fo</w:t>
      </w:r>
      <w:r w:rsidR="00776D47">
        <w:rPr>
          <w:sz w:val="24"/>
        </w:rPr>
        <w:t xml:space="preserve">r the human rights of all women </w:t>
      </w:r>
      <w:r w:rsidR="00776D47" w:rsidRPr="003A0FE4">
        <w:rPr>
          <w:sz w:val="24"/>
        </w:rPr>
        <w:t>and girls, emphasi</w:t>
      </w:r>
      <w:r w:rsidR="00776D47">
        <w:rPr>
          <w:sz w:val="24"/>
        </w:rPr>
        <w:t>zing</w:t>
      </w:r>
      <w:r w:rsidR="00776D47" w:rsidRPr="003A0FE4">
        <w:rPr>
          <w:sz w:val="24"/>
        </w:rPr>
        <w:t xml:space="preserve"> women and girls with disabilities, and works tirelessly to</w:t>
      </w:r>
      <w:r w:rsidR="00776D47">
        <w:rPr>
          <w:sz w:val="24"/>
        </w:rPr>
        <w:t xml:space="preserve"> </w:t>
      </w:r>
      <w:r w:rsidR="00776D47" w:rsidRPr="003A0FE4">
        <w:rPr>
          <w:sz w:val="24"/>
        </w:rPr>
        <w:t>include women</w:t>
      </w:r>
      <w:r w:rsidR="00776D47">
        <w:rPr>
          <w:sz w:val="24"/>
        </w:rPr>
        <w:t xml:space="preserve"> and girls with disabilities in </w:t>
      </w:r>
      <w:r w:rsidR="00776D47" w:rsidRPr="003A0FE4">
        <w:rPr>
          <w:sz w:val="24"/>
        </w:rPr>
        <w:t>international resolutions, policies</w:t>
      </w:r>
      <w:r w:rsidR="00776D47">
        <w:rPr>
          <w:sz w:val="24"/>
        </w:rPr>
        <w:t>,</w:t>
      </w:r>
      <w:r w:rsidR="00776D47" w:rsidRPr="003A0FE4">
        <w:rPr>
          <w:sz w:val="24"/>
        </w:rPr>
        <w:t xml:space="preserve"> and</w:t>
      </w:r>
      <w:r w:rsidR="00776D47">
        <w:rPr>
          <w:sz w:val="24"/>
        </w:rPr>
        <w:t xml:space="preserve"> </w:t>
      </w:r>
      <w:r w:rsidR="00776D47" w:rsidRPr="003A0FE4">
        <w:rPr>
          <w:sz w:val="24"/>
        </w:rPr>
        <w:t>programs addressing women’s human rights and development.</w:t>
      </w:r>
      <w:r w:rsidR="00776D47">
        <w:rPr>
          <w:sz w:val="24"/>
        </w:rPr>
        <w:t xml:space="preserve"> </w:t>
      </w:r>
    </w:p>
    <w:p w14:paraId="422E5337" w14:textId="679BF670" w:rsidR="00776D47" w:rsidRPr="00004063" w:rsidRDefault="00776D47" w:rsidP="00004063">
      <w:pPr>
        <w:rPr>
          <w:sz w:val="24"/>
        </w:rPr>
      </w:pPr>
      <w:r>
        <w:rPr>
          <w:sz w:val="24"/>
        </w:rPr>
        <w:t xml:space="preserve">WEI’s comments </w:t>
      </w:r>
      <w:r w:rsidR="00800DC5">
        <w:rPr>
          <w:sz w:val="24"/>
        </w:rPr>
        <w:t>are directed at</w:t>
      </w:r>
      <w:r>
        <w:rPr>
          <w:sz w:val="24"/>
        </w:rPr>
        <w:t xml:space="preserve"> </w:t>
      </w:r>
      <w:r w:rsidR="002C0EC1">
        <w:rPr>
          <w:sz w:val="24"/>
        </w:rPr>
        <w:t>three</w:t>
      </w:r>
      <w:r w:rsidR="00F70D7D">
        <w:rPr>
          <w:sz w:val="24"/>
        </w:rPr>
        <w:t xml:space="preserve"> </w:t>
      </w:r>
      <w:r>
        <w:rPr>
          <w:sz w:val="24"/>
        </w:rPr>
        <w:t xml:space="preserve">of the issues identified in the Human Rights Committee’s </w:t>
      </w:r>
      <w:r w:rsidR="00187BA1">
        <w:rPr>
          <w:sz w:val="24"/>
        </w:rPr>
        <w:t>Note</w:t>
      </w:r>
      <w:r>
        <w:rPr>
          <w:sz w:val="24"/>
        </w:rPr>
        <w:t>: (1)</w:t>
      </w:r>
      <w:r w:rsidR="00004063" w:rsidRPr="00004063">
        <w:rPr>
          <w:sz w:val="24"/>
        </w:rPr>
        <w:t xml:space="preserve"> </w:t>
      </w:r>
      <w:r w:rsidR="00004063">
        <w:rPr>
          <w:sz w:val="24"/>
        </w:rPr>
        <w:t>the scope and nature of the duty to respect and ensure the right to life (para. 5(a)), particularly the relationship of the right to life to other international human rights instruments</w:t>
      </w:r>
      <w:r>
        <w:rPr>
          <w:sz w:val="24"/>
        </w:rPr>
        <w:t xml:space="preserve">, and (2) </w:t>
      </w:r>
      <w:r w:rsidR="00004063">
        <w:rPr>
          <w:sz w:val="24"/>
        </w:rPr>
        <w:t>the applicability of the article to the unborn and other forms of human existence (para. 5(c))</w:t>
      </w:r>
      <w:r w:rsidR="002C0EC1">
        <w:rPr>
          <w:sz w:val="24"/>
        </w:rPr>
        <w:t>,</w:t>
      </w:r>
      <w:r w:rsidR="00FB425F">
        <w:rPr>
          <w:sz w:val="24"/>
        </w:rPr>
        <w:t xml:space="preserve"> </w:t>
      </w:r>
      <w:r w:rsidR="002C0EC1">
        <w:rPr>
          <w:sz w:val="24"/>
        </w:rPr>
        <w:t xml:space="preserve">as it </w:t>
      </w:r>
      <w:r w:rsidR="000738FF">
        <w:rPr>
          <w:sz w:val="24"/>
        </w:rPr>
        <w:t>relates to</w:t>
      </w:r>
      <w:r w:rsidR="002C0EC1">
        <w:rPr>
          <w:sz w:val="24"/>
        </w:rPr>
        <w:t xml:space="preserve"> (3) possible exceptions to the duty to protect life by law (para. 6(b))</w:t>
      </w:r>
      <w:r>
        <w:rPr>
          <w:sz w:val="24"/>
        </w:rPr>
        <w:t>.</w:t>
      </w:r>
    </w:p>
    <w:p w14:paraId="063B41D2" w14:textId="6D38CF3E" w:rsidR="00776D47" w:rsidRDefault="00776D47" w:rsidP="00776D47">
      <w:pPr>
        <w:pStyle w:val="ListParagraph"/>
        <w:numPr>
          <w:ilvl w:val="0"/>
          <w:numId w:val="13"/>
        </w:numPr>
        <w:rPr>
          <w:b/>
          <w:sz w:val="24"/>
        </w:rPr>
      </w:pPr>
      <w:r>
        <w:rPr>
          <w:b/>
          <w:sz w:val="24"/>
        </w:rPr>
        <w:t>The scope and nature of the duty to respect and ensure the right to life</w:t>
      </w:r>
      <w:r w:rsidR="00222867">
        <w:rPr>
          <w:b/>
          <w:sz w:val="24"/>
        </w:rPr>
        <w:t xml:space="preserve"> (para. 5(a)). </w:t>
      </w:r>
    </w:p>
    <w:p w14:paraId="5A768426" w14:textId="41E50A7F" w:rsidR="000738FF" w:rsidRDefault="000738FF" w:rsidP="00895EE2">
      <w:pPr>
        <w:rPr>
          <w:sz w:val="24"/>
        </w:rPr>
      </w:pPr>
      <w:r>
        <w:rPr>
          <w:sz w:val="24"/>
        </w:rPr>
        <w:t xml:space="preserve">Women, including women with disabilities, face unique and specific risks to their right to life as a result of pregnancy and childbirth. </w:t>
      </w:r>
      <w:r w:rsidR="00B162CE">
        <w:rPr>
          <w:sz w:val="24"/>
        </w:rPr>
        <w:t xml:space="preserve">The leading causes of death for women of reproductive age worldwide are HIV/AIDS and complications </w:t>
      </w:r>
      <w:r w:rsidR="00365F0D">
        <w:rPr>
          <w:sz w:val="24"/>
        </w:rPr>
        <w:t>from</w:t>
      </w:r>
      <w:r w:rsidR="00B162CE">
        <w:rPr>
          <w:sz w:val="24"/>
        </w:rPr>
        <w:t xml:space="preserve"> pregnancy and childbirth</w:t>
      </w:r>
      <w:r w:rsidR="00A0143B">
        <w:rPr>
          <w:sz w:val="24"/>
        </w:rPr>
        <w:t>,</w:t>
      </w:r>
      <w:r w:rsidR="00B162CE">
        <w:rPr>
          <w:rStyle w:val="FootnoteReference"/>
          <w:sz w:val="24"/>
        </w:rPr>
        <w:footnoteReference w:id="1"/>
      </w:r>
      <w:r w:rsidR="00B162CE">
        <w:rPr>
          <w:sz w:val="24"/>
        </w:rPr>
        <w:t xml:space="preserve"> </w:t>
      </w:r>
      <w:r w:rsidR="00A0143B">
        <w:rPr>
          <w:sz w:val="24"/>
        </w:rPr>
        <w:t>yet the majority of maternal deaths are preventable with access to</w:t>
      </w:r>
      <w:r w:rsidR="005E5F8D">
        <w:rPr>
          <w:sz w:val="24"/>
        </w:rPr>
        <w:t xml:space="preserve"> appropriate</w:t>
      </w:r>
      <w:r w:rsidR="00A0143B">
        <w:rPr>
          <w:sz w:val="24"/>
        </w:rPr>
        <w:t xml:space="preserve"> perinatal care, </w:t>
      </w:r>
      <w:r w:rsidR="004C27A2">
        <w:rPr>
          <w:sz w:val="24"/>
        </w:rPr>
        <w:t xml:space="preserve">contraceptive information and services, </w:t>
      </w:r>
      <w:r w:rsidR="00A0143B">
        <w:rPr>
          <w:sz w:val="24"/>
        </w:rPr>
        <w:t>safe abortion, and post-abortion care.</w:t>
      </w:r>
      <w:r w:rsidR="00751746">
        <w:rPr>
          <w:rStyle w:val="FootnoteReference"/>
          <w:sz w:val="24"/>
        </w:rPr>
        <w:footnoteReference w:id="2"/>
      </w:r>
      <w:r w:rsidR="00A0143B">
        <w:rPr>
          <w:sz w:val="24"/>
        </w:rPr>
        <w:t xml:space="preserve"> </w:t>
      </w:r>
      <w:r w:rsidR="00B162CE">
        <w:rPr>
          <w:sz w:val="24"/>
        </w:rPr>
        <w:t>Women with disabilities, in particula</w:t>
      </w:r>
      <w:r w:rsidR="00A0143B">
        <w:rPr>
          <w:sz w:val="24"/>
        </w:rPr>
        <w:t>r, face significant barriers in combating these leading causes of death. As a result of stereotypes regarding their sexuality and despite their heightened risk of sexual violence, women and girls with disabilities frequently lack the health information necessary to protect themselves from sexually transmitted diseases or unwanted pregnancy.</w:t>
      </w:r>
      <w:r w:rsidR="00A0143B">
        <w:rPr>
          <w:rStyle w:val="FootnoteReference"/>
          <w:sz w:val="24"/>
        </w:rPr>
        <w:footnoteReference w:id="3"/>
      </w:r>
      <w:r w:rsidR="002C716F">
        <w:rPr>
          <w:sz w:val="24"/>
        </w:rPr>
        <w:t xml:space="preserve"> </w:t>
      </w:r>
      <w:r w:rsidR="001C5E53">
        <w:rPr>
          <w:sz w:val="24"/>
        </w:rPr>
        <w:t>Furthermore,</w:t>
      </w:r>
      <w:r w:rsidR="00B162CE">
        <w:rPr>
          <w:sz w:val="24"/>
        </w:rPr>
        <w:t xml:space="preserve"> “</w:t>
      </w:r>
      <w:r w:rsidR="00B162CE" w:rsidRPr="001D05C3">
        <w:rPr>
          <w:sz w:val="24"/>
        </w:rPr>
        <w:t>in many places women with disabilities are routinely turned</w:t>
      </w:r>
      <w:r w:rsidR="00B162CE">
        <w:rPr>
          <w:sz w:val="24"/>
        </w:rPr>
        <w:t xml:space="preserve"> </w:t>
      </w:r>
      <w:r w:rsidR="00B162CE" w:rsidRPr="001D05C3">
        <w:rPr>
          <w:sz w:val="24"/>
        </w:rPr>
        <w:t xml:space="preserve">away from </w:t>
      </w:r>
      <w:r w:rsidR="00A0143B">
        <w:rPr>
          <w:sz w:val="24"/>
        </w:rPr>
        <w:t>[maternal health]</w:t>
      </w:r>
      <w:r w:rsidR="00B162CE" w:rsidRPr="001D05C3">
        <w:rPr>
          <w:sz w:val="24"/>
        </w:rPr>
        <w:t xml:space="preserve"> services </w:t>
      </w:r>
      <w:r w:rsidR="00B162CE">
        <w:rPr>
          <w:sz w:val="24"/>
        </w:rPr>
        <w:t>…</w:t>
      </w:r>
      <w:r w:rsidR="00B162CE" w:rsidRPr="001D05C3">
        <w:rPr>
          <w:sz w:val="24"/>
        </w:rPr>
        <w:t>, often also being told that</w:t>
      </w:r>
      <w:r w:rsidR="00B162CE">
        <w:rPr>
          <w:sz w:val="24"/>
        </w:rPr>
        <w:t xml:space="preserve"> </w:t>
      </w:r>
      <w:r w:rsidR="00B162CE" w:rsidRPr="001D05C3">
        <w:rPr>
          <w:sz w:val="24"/>
        </w:rPr>
        <w:t>they should not be pregnant, or scolded because they have decided to</w:t>
      </w:r>
      <w:r w:rsidR="00B162CE">
        <w:rPr>
          <w:sz w:val="24"/>
        </w:rPr>
        <w:t xml:space="preserve"> </w:t>
      </w:r>
      <w:r w:rsidR="00B162CE" w:rsidRPr="001D05C3">
        <w:rPr>
          <w:sz w:val="24"/>
        </w:rPr>
        <w:t>have a child</w:t>
      </w:r>
      <w:r w:rsidR="00B162CE">
        <w:rPr>
          <w:sz w:val="24"/>
        </w:rPr>
        <w:t>.”</w:t>
      </w:r>
      <w:r w:rsidR="00B162CE">
        <w:rPr>
          <w:rStyle w:val="FootnoteReference"/>
          <w:sz w:val="24"/>
        </w:rPr>
        <w:footnoteReference w:id="4"/>
      </w:r>
      <w:r w:rsidR="002C716F">
        <w:rPr>
          <w:sz w:val="24"/>
        </w:rPr>
        <w:t xml:space="preserve"> </w:t>
      </w:r>
      <w:r w:rsidR="00071AEC">
        <w:rPr>
          <w:sz w:val="24"/>
        </w:rPr>
        <w:t>The specific risks that women, including women with disabilities, face as a result of pregnancy and childbirth must be considered in evaluating the scope and nature of States parties’ duty to respect and ensure the right to life.</w:t>
      </w:r>
    </w:p>
    <w:p w14:paraId="22A133ED" w14:textId="63EBE23D" w:rsidR="000738FF" w:rsidRDefault="004D5819" w:rsidP="00895EE2">
      <w:pPr>
        <w:rPr>
          <w:sz w:val="24"/>
        </w:rPr>
      </w:pPr>
      <w:r>
        <w:rPr>
          <w:sz w:val="24"/>
        </w:rPr>
        <w:lastRenderedPageBreak/>
        <w:t>A growing body of international and regional human rights standards and jurisprudence recognizes that the</w:t>
      </w:r>
      <w:r w:rsidR="00D55D1E">
        <w:rPr>
          <w:sz w:val="24"/>
        </w:rPr>
        <w:t xml:space="preserve"> right to life includes an implicit right to live with dignity</w:t>
      </w:r>
      <w:r w:rsidR="00071AEC">
        <w:rPr>
          <w:sz w:val="24"/>
        </w:rPr>
        <w:t xml:space="preserve">. Accordingly, a State’s obligations with respect to this right requires guaranteeing </w:t>
      </w:r>
      <w:r w:rsidR="00D55D1E">
        <w:rPr>
          <w:sz w:val="24"/>
        </w:rPr>
        <w:t>the factors that contribute to a decent or adequate standard of living</w:t>
      </w:r>
      <w:r w:rsidR="000738FF">
        <w:rPr>
          <w:sz w:val="24"/>
        </w:rPr>
        <w:t>, including access to adequate sexual and reproductive health services</w:t>
      </w:r>
      <w:r w:rsidR="00D55D1E">
        <w:rPr>
          <w:sz w:val="24"/>
        </w:rPr>
        <w:t xml:space="preserve">. </w:t>
      </w:r>
      <w:r>
        <w:rPr>
          <w:sz w:val="24"/>
        </w:rPr>
        <w:t>This holistic understanding of the right to life reflects the indivisibility and interdependence of human rights norms</w:t>
      </w:r>
      <w:r w:rsidR="000738FF">
        <w:rPr>
          <w:sz w:val="24"/>
        </w:rPr>
        <w:t xml:space="preserve"> and the relationship of article 6 to other international human rights treaties, including, among others, article 12 of the International Covenant on Economic, Social and Cultural Rights,</w:t>
      </w:r>
      <w:r w:rsidR="000738FF">
        <w:rPr>
          <w:rStyle w:val="FootnoteReference"/>
          <w:sz w:val="24"/>
        </w:rPr>
        <w:footnoteReference w:id="5"/>
      </w:r>
      <w:r w:rsidR="000738FF">
        <w:rPr>
          <w:sz w:val="24"/>
        </w:rPr>
        <w:t xml:space="preserve"> article 12 of the Convention on the Elimination of all Forms of Discrimination against Women</w:t>
      </w:r>
      <w:r w:rsidR="005E5F8D">
        <w:rPr>
          <w:sz w:val="24"/>
        </w:rPr>
        <w:t xml:space="preserve"> (CEDAW)</w:t>
      </w:r>
      <w:r w:rsidR="000738FF">
        <w:rPr>
          <w:sz w:val="24"/>
        </w:rPr>
        <w:t>,</w:t>
      </w:r>
      <w:r w:rsidR="000738FF">
        <w:rPr>
          <w:rStyle w:val="FootnoteReference"/>
          <w:sz w:val="24"/>
        </w:rPr>
        <w:footnoteReference w:id="6"/>
      </w:r>
      <w:r w:rsidR="000738FF">
        <w:rPr>
          <w:sz w:val="24"/>
        </w:rPr>
        <w:t xml:space="preserve"> and article 28 of the Convention on the Rights of Persons with Disabilities</w:t>
      </w:r>
      <w:r w:rsidR="004560F7">
        <w:rPr>
          <w:sz w:val="24"/>
        </w:rPr>
        <w:t xml:space="preserve"> (CRPD)</w:t>
      </w:r>
      <w:r w:rsidR="000738FF">
        <w:rPr>
          <w:sz w:val="24"/>
        </w:rPr>
        <w:t>.</w:t>
      </w:r>
      <w:r w:rsidR="000738FF">
        <w:rPr>
          <w:rStyle w:val="FootnoteReference"/>
          <w:sz w:val="24"/>
        </w:rPr>
        <w:footnoteReference w:id="7"/>
      </w:r>
      <w:r w:rsidR="000738FF">
        <w:rPr>
          <w:sz w:val="24"/>
        </w:rPr>
        <w:t xml:space="preserve"> </w:t>
      </w:r>
    </w:p>
    <w:p w14:paraId="057BA925" w14:textId="44944251" w:rsidR="00895EE2" w:rsidRPr="00895EE2" w:rsidRDefault="000738FF" w:rsidP="00895EE2">
      <w:pPr>
        <w:rPr>
          <w:sz w:val="24"/>
        </w:rPr>
      </w:pPr>
      <w:r>
        <w:rPr>
          <w:sz w:val="24"/>
        </w:rPr>
        <w:t>The</w:t>
      </w:r>
      <w:r w:rsidR="00187BA1">
        <w:rPr>
          <w:sz w:val="24"/>
        </w:rPr>
        <w:t xml:space="preserve"> right to a dignified life manifests in international and regional human rights standards in various forms. </w:t>
      </w:r>
      <w:r w:rsidR="00895EE2">
        <w:rPr>
          <w:sz w:val="24"/>
        </w:rPr>
        <w:t>The Committee on Economic, Social and Cultural Rights</w:t>
      </w:r>
      <w:r w:rsidR="003D713A">
        <w:rPr>
          <w:sz w:val="24"/>
        </w:rPr>
        <w:t xml:space="preserve"> </w:t>
      </w:r>
      <w:r w:rsidR="00895EE2">
        <w:rPr>
          <w:sz w:val="24"/>
        </w:rPr>
        <w:t>has explained that “[</w:t>
      </w:r>
      <w:proofErr w:type="gramStart"/>
      <w:r w:rsidR="00895EE2">
        <w:rPr>
          <w:sz w:val="24"/>
        </w:rPr>
        <w:t>t]</w:t>
      </w:r>
      <w:r w:rsidR="00895EE2" w:rsidRPr="00407C68">
        <w:rPr>
          <w:sz w:val="24"/>
        </w:rPr>
        <w:t>he</w:t>
      </w:r>
      <w:proofErr w:type="gramEnd"/>
      <w:r w:rsidR="00895EE2" w:rsidRPr="00407C68">
        <w:rPr>
          <w:sz w:val="24"/>
        </w:rPr>
        <w:t xml:space="preserve"> rig</w:t>
      </w:r>
      <w:r w:rsidR="00895EE2">
        <w:rPr>
          <w:sz w:val="24"/>
        </w:rPr>
        <w:t xml:space="preserve">ht to live a dignified life can </w:t>
      </w:r>
      <w:r w:rsidR="00895EE2" w:rsidRPr="00407C68">
        <w:rPr>
          <w:sz w:val="24"/>
        </w:rPr>
        <w:t>never be attained unles</w:t>
      </w:r>
      <w:r w:rsidR="00895EE2">
        <w:rPr>
          <w:sz w:val="24"/>
        </w:rPr>
        <w:t>s all basic necessities of life—</w:t>
      </w:r>
      <w:r w:rsidR="00895EE2" w:rsidRPr="00407C68">
        <w:rPr>
          <w:sz w:val="24"/>
        </w:rPr>
        <w:t>work, food, housing, health care, education and</w:t>
      </w:r>
      <w:r w:rsidR="00895EE2">
        <w:rPr>
          <w:sz w:val="24"/>
        </w:rPr>
        <w:t xml:space="preserve"> </w:t>
      </w:r>
      <w:r w:rsidR="00895EE2" w:rsidRPr="00407C68">
        <w:rPr>
          <w:sz w:val="24"/>
        </w:rPr>
        <w:t>culture</w:t>
      </w:r>
      <w:r w:rsidR="00895EE2">
        <w:rPr>
          <w:sz w:val="24"/>
        </w:rPr>
        <w:t>—</w:t>
      </w:r>
      <w:r w:rsidR="00895EE2" w:rsidRPr="00407C68">
        <w:rPr>
          <w:sz w:val="24"/>
        </w:rPr>
        <w:t>are adequately and equitably available to everyone.</w:t>
      </w:r>
      <w:r w:rsidR="00895EE2">
        <w:rPr>
          <w:sz w:val="24"/>
        </w:rPr>
        <w:t>”</w:t>
      </w:r>
      <w:r w:rsidR="00895EE2">
        <w:rPr>
          <w:rStyle w:val="FootnoteReference"/>
          <w:sz w:val="24"/>
        </w:rPr>
        <w:footnoteReference w:id="8"/>
      </w:r>
      <w:r w:rsidR="00895EE2">
        <w:rPr>
          <w:sz w:val="24"/>
        </w:rPr>
        <w:t xml:space="preserve"> </w:t>
      </w:r>
      <w:r w:rsidR="00187BA1">
        <w:rPr>
          <w:sz w:val="24"/>
        </w:rPr>
        <w:t>The C</w:t>
      </w:r>
      <w:r w:rsidR="00895EE2">
        <w:rPr>
          <w:sz w:val="24"/>
        </w:rPr>
        <w:t>onvention on the Rights of the Child not only recognizes an inherent right to life of the child, but also requires that “S</w:t>
      </w:r>
      <w:r w:rsidR="00895EE2" w:rsidRPr="002C0EC1">
        <w:rPr>
          <w:sz w:val="24"/>
        </w:rPr>
        <w:t>tates Parties shall ensure to the maximum extent possible the survival and development of the child</w:t>
      </w:r>
      <w:r w:rsidR="00895EE2">
        <w:rPr>
          <w:sz w:val="24"/>
        </w:rPr>
        <w:t>.”</w:t>
      </w:r>
      <w:r w:rsidR="00895EE2">
        <w:rPr>
          <w:rStyle w:val="FootnoteReference"/>
          <w:sz w:val="24"/>
        </w:rPr>
        <w:footnoteReference w:id="9"/>
      </w:r>
      <w:r w:rsidR="00895EE2">
        <w:rPr>
          <w:sz w:val="24"/>
        </w:rPr>
        <w:t xml:space="preserve"> The </w:t>
      </w:r>
      <w:r w:rsidR="004560F7">
        <w:rPr>
          <w:sz w:val="24"/>
        </w:rPr>
        <w:t xml:space="preserve">CRPD, </w:t>
      </w:r>
      <w:r w:rsidR="00895EE2">
        <w:rPr>
          <w:sz w:val="24"/>
        </w:rPr>
        <w:t>in addition to protecting the right to life,</w:t>
      </w:r>
      <w:r w:rsidR="00895EE2">
        <w:rPr>
          <w:rStyle w:val="FootnoteReference"/>
          <w:sz w:val="24"/>
        </w:rPr>
        <w:footnoteReference w:id="10"/>
      </w:r>
      <w:r w:rsidR="00895EE2">
        <w:rPr>
          <w:sz w:val="24"/>
        </w:rPr>
        <w:t xml:space="preserve"> “</w:t>
      </w:r>
      <w:r w:rsidR="00895EE2" w:rsidRPr="00895EE2">
        <w:rPr>
          <w:sz w:val="24"/>
        </w:rPr>
        <w:t>recognize</w:t>
      </w:r>
      <w:r w:rsidR="00895EE2">
        <w:rPr>
          <w:sz w:val="24"/>
        </w:rPr>
        <w:t>[s]</w:t>
      </w:r>
      <w:r w:rsidR="00895EE2" w:rsidRPr="00895EE2">
        <w:rPr>
          <w:sz w:val="24"/>
        </w:rPr>
        <w:t xml:space="preserv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r w:rsidR="00895EE2">
        <w:rPr>
          <w:sz w:val="24"/>
        </w:rPr>
        <w:t>”</w:t>
      </w:r>
      <w:r w:rsidR="00895EE2">
        <w:rPr>
          <w:rStyle w:val="FootnoteReference"/>
          <w:sz w:val="24"/>
        </w:rPr>
        <w:footnoteReference w:id="11"/>
      </w:r>
      <w:r w:rsidR="008F6459">
        <w:rPr>
          <w:sz w:val="24"/>
        </w:rPr>
        <w:t xml:space="preserve"> </w:t>
      </w:r>
    </w:p>
    <w:p w14:paraId="74149F58" w14:textId="06B0278D" w:rsidR="00895EE2" w:rsidRDefault="00793663" w:rsidP="00895EE2">
      <w:pPr>
        <w:rPr>
          <w:sz w:val="24"/>
        </w:rPr>
      </w:pPr>
      <w:r>
        <w:rPr>
          <w:sz w:val="24"/>
        </w:rPr>
        <w:t>The</w:t>
      </w:r>
      <w:r w:rsidR="00642A12">
        <w:rPr>
          <w:sz w:val="24"/>
        </w:rPr>
        <w:t xml:space="preserve"> Inter-American Court of Human Rights, in particular, has developed a robust </w:t>
      </w:r>
      <w:r w:rsidR="00260AFD">
        <w:rPr>
          <w:sz w:val="24"/>
        </w:rPr>
        <w:t>understanding of a State’s positive obligations to “</w:t>
      </w:r>
      <w:r w:rsidR="00260AFD" w:rsidRPr="00260AFD">
        <w:rPr>
          <w:sz w:val="24"/>
        </w:rPr>
        <w:t xml:space="preserve">guarantee the creation of the conditions required in order that violations of </w:t>
      </w:r>
      <w:r w:rsidR="00260AFD">
        <w:rPr>
          <w:sz w:val="24"/>
        </w:rPr>
        <w:t>[the right to life]</w:t>
      </w:r>
      <w:r w:rsidR="00260AFD" w:rsidRPr="00260AFD">
        <w:rPr>
          <w:sz w:val="24"/>
        </w:rPr>
        <w:t xml:space="preserve"> do not occur</w:t>
      </w:r>
      <w:r w:rsidR="005E5F8D">
        <w:rPr>
          <w:sz w:val="24"/>
        </w:rPr>
        <w:t>.</w:t>
      </w:r>
      <w:r w:rsidR="00260AFD">
        <w:rPr>
          <w:sz w:val="24"/>
        </w:rPr>
        <w:t>”</w:t>
      </w:r>
      <w:r w:rsidR="00260AFD">
        <w:rPr>
          <w:rStyle w:val="FootnoteReference"/>
          <w:sz w:val="24"/>
        </w:rPr>
        <w:footnoteReference w:id="12"/>
      </w:r>
      <w:r>
        <w:rPr>
          <w:sz w:val="24"/>
        </w:rPr>
        <w:t xml:space="preserve"> The Inter-American Court has clarified that a State’s duty does not extend to every situation where </w:t>
      </w:r>
      <w:r w:rsidR="003D713A">
        <w:rPr>
          <w:sz w:val="24"/>
        </w:rPr>
        <w:t>life is at risk</w:t>
      </w:r>
      <w:r w:rsidR="000738FF">
        <w:rPr>
          <w:sz w:val="24"/>
        </w:rPr>
        <w:t>;</w:t>
      </w:r>
      <w:r w:rsidR="003D713A">
        <w:rPr>
          <w:sz w:val="24"/>
        </w:rPr>
        <w:t xml:space="preserve"> rather </w:t>
      </w:r>
      <w:r w:rsidR="006852CE">
        <w:rPr>
          <w:sz w:val="24"/>
        </w:rPr>
        <w:t xml:space="preserve">accountability requires that </w:t>
      </w:r>
      <w:r w:rsidR="003D713A">
        <w:rPr>
          <w:sz w:val="24"/>
        </w:rPr>
        <w:t>“</w:t>
      </w:r>
      <w:r w:rsidR="006852CE">
        <w:rPr>
          <w:sz w:val="24"/>
        </w:rPr>
        <w:t>t</w:t>
      </w:r>
      <w:r w:rsidR="003D713A" w:rsidRPr="006744D4">
        <w:rPr>
          <w:sz w:val="24"/>
        </w:rPr>
        <w:t>he authorities knew or should have known of the existence of a situation of real and immediate risk to the life of an individual or group of specific individuals, and that they did not take the necessary measures within their powers that could reasonably be expected to prevent or avoid that risk</w:t>
      </w:r>
      <w:r w:rsidR="003D713A">
        <w:rPr>
          <w:sz w:val="24"/>
        </w:rPr>
        <w:t>.”</w:t>
      </w:r>
      <w:r w:rsidR="003D713A">
        <w:rPr>
          <w:rStyle w:val="FootnoteReference"/>
          <w:sz w:val="24"/>
        </w:rPr>
        <w:footnoteReference w:id="13"/>
      </w:r>
      <w:r w:rsidR="003D713A">
        <w:rPr>
          <w:sz w:val="24"/>
        </w:rPr>
        <w:t xml:space="preserve"> Notably,</w:t>
      </w:r>
      <w:r w:rsidR="006852CE">
        <w:rPr>
          <w:sz w:val="24"/>
        </w:rPr>
        <w:t xml:space="preserve"> the Court has found that the risk to the life of an individual or group of individuals is sufficient to find a violation of the right to life, even in the absence of a </w:t>
      </w:r>
      <w:r w:rsidR="006852CE">
        <w:rPr>
          <w:sz w:val="24"/>
        </w:rPr>
        <w:lastRenderedPageBreak/>
        <w:t>related death</w:t>
      </w:r>
      <w:r w:rsidR="00606603">
        <w:rPr>
          <w:sz w:val="24"/>
        </w:rPr>
        <w:t>, particularly in the context of poverty and isolation from necessary health services</w:t>
      </w:r>
      <w:r w:rsidR="006852CE">
        <w:rPr>
          <w:sz w:val="24"/>
        </w:rPr>
        <w:t>.</w:t>
      </w:r>
      <w:r w:rsidR="008D6C77">
        <w:rPr>
          <w:rStyle w:val="FootnoteReference"/>
          <w:sz w:val="24"/>
        </w:rPr>
        <w:footnoteReference w:id="14"/>
      </w:r>
      <w:r w:rsidR="006852CE">
        <w:rPr>
          <w:sz w:val="24"/>
        </w:rPr>
        <w:t xml:space="preserve"> </w:t>
      </w:r>
    </w:p>
    <w:p w14:paraId="07A3AF0E" w14:textId="2D3932E1" w:rsidR="001D05C3" w:rsidRPr="001D05C3" w:rsidRDefault="00EC1A1B" w:rsidP="001D05C3">
      <w:pPr>
        <w:rPr>
          <w:sz w:val="24"/>
        </w:rPr>
      </w:pPr>
      <w:r>
        <w:rPr>
          <w:sz w:val="24"/>
        </w:rPr>
        <w:t xml:space="preserve">This holistic analysis of the right to life, and its interdependence </w:t>
      </w:r>
      <w:r w:rsidR="00E17E4A">
        <w:rPr>
          <w:sz w:val="24"/>
        </w:rPr>
        <w:t>with</w:t>
      </w:r>
      <w:r>
        <w:rPr>
          <w:sz w:val="24"/>
        </w:rPr>
        <w:t xml:space="preserve"> the right to health, is essential in addressing </w:t>
      </w:r>
      <w:r w:rsidR="00E17E4A">
        <w:rPr>
          <w:sz w:val="24"/>
        </w:rPr>
        <w:t>women’s</w:t>
      </w:r>
      <w:r>
        <w:rPr>
          <w:sz w:val="24"/>
        </w:rPr>
        <w:t xml:space="preserve"> right to life. </w:t>
      </w:r>
      <w:r w:rsidR="006852CE">
        <w:rPr>
          <w:sz w:val="24"/>
        </w:rPr>
        <w:t>Accessible</w:t>
      </w:r>
      <w:r w:rsidR="00E17E4A">
        <w:rPr>
          <w:sz w:val="24"/>
        </w:rPr>
        <w:t xml:space="preserve"> sexual and reproductive health care—including contraceptive information and services, safe abortion, post-abortion care, and prenatal, </w:t>
      </w:r>
      <w:r w:rsidR="005E5F8D">
        <w:rPr>
          <w:sz w:val="24"/>
        </w:rPr>
        <w:t xml:space="preserve">labor and </w:t>
      </w:r>
      <w:r w:rsidR="00E17E4A">
        <w:rPr>
          <w:sz w:val="24"/>
        </w:rPr>
        <w:t>delivery</w:t>
      </w:r>
      <w:r w:rsidR="005E5F8D">
        <w:rPr>
          <w:sz w:val="24"/>
        </w:rPr>
        <w:t>,</w:t>
      </w:r>
      <w:r w:rsidR="00E17E4A">
        <w:rPr>
          <w:sz w:val="24"/>
        </w:rPr>
        <w:t xml:space="preserve"> and postnatal care—</w:t>
      </w:r>
      <w:r w:rsidR="006852CE">
        <w:rPr>
          <w:sz w:val="24"/>
        </w:rPr>
        <w:t>is</w:t>
      </w:r>
      <w:r w:rsidR="00E17E4A">
        <w:rPr>
          <w:sz w:val="24"/>
        </w:rPr>
        <w:t xml:space="preserve"> </w:t>
      </w:r>
      <w:r w:rsidR="00985967">
        <w:rPr>
          <w:sz w:val="24"/>
        </w:rPr>
        <w:t>necessary</w:t>
      </w:r>
      <w:r w:rsidR="00C72B5A">
        <w:rPr>
          <w:sz w:val="24"/>
        </w:rPr>
        <w:t xml:space="preserve"> to safeguard</w:t>
      </w:r>
      <w:r w:rsidR="00E17E4A">
        <w:rPr>
          <w:sz w:val="24"/>
        </w:rPr>
        <w:t xml:space="preserve"> women’s right to life</w:t>
      </w:r>
      <w:r w:rsidR="006852CE">
        <w:rPr>
          <w:sz w:val="24"/>
        </w:rPr>
        <w:t xml:space="preserve">, and </w:t>
      </w:r>
      <w:r w:rsidR="008D6C77">
        <w:rPr>
          <w:sz w:val="24"/>
        </w:rPr>
        <w:t>States’ obligations to protect the right to life include the duty to provide these necessary services.</w:t>
      </w:r>
      <w:r w:rsidR="006852CE">
        <w:rPr>
          <w:sz w:val="24"/>
        </w:rPr>
        <w:t xml:space="preserve"> </w:t>
      </w:r>
      <w:r w:rsidR="00050041">
        <w:rPr>
          <w:sz w:val="24"/>
        </w:rPr>
        <w:t>International and regional human rights bodies</w:t>
      </w:r>
      <w:r w:rsidR="00474111">
        <w:rPr>
          <w:sz w:val="24"/>
        </w:rPr>
        <w:t>, including this Committee,</w:t>
      </w:r>
      <w:r w:rsidR="00050041">
        <w:rPr>
          <w:sz w:val="24"/>
        </w:rPr>
        <w:t xml:space="preserve"> </w:t>
      </w:r>
      <w:r w:rsidR="00C72B5A">
        <w:rPr>
          <w:sz w:val="24"/>
        </w:rPr>
        <w:t>have recognized</w:t>
      </w:r>
      <w:r w:rsidR="00050041">
        <w:rPr>
          <w:sz w:val="24"/>
        </w:rPr>
        <w:t xml:space="preserve"> this crucial link. </w:t>
      </w:r>
      <w:r w:rsidR="00CB4501">
        <w:rPr>
          <w:sz w:val="24"/>
        </w:rPr>
        <w:t xml:space="preserve">This Committee has called on </w:t>
      </w:r>
      <w:r w:rsidR="00606603">
        <w:rPr>
          <w:sz w:val="24"/>
        </w:rPr>
        <w:t>S</w:t>
      </w:r>
      <w:r w:rsidR="00CB4501">
        <w:rPr>
          <w:sz w:val="24"/>
        </w:rPr>
        <w:t>tates to provide information about</w:t>
      </w:r>
      <w:r w:rsidR="00474111">
        <w:rPr>
          <w:sz w:val="24"/>
        </w:rPr>
        <w:t xml:space="preserve"> pregnancy and childbirth-related deaths in the context of their article 6 obligations, as well as “</w:t>
      </w:r>
      <w:r w:rsidR="00474111" w:rsidRPr="00474111">
        <w:rPr>
          <w:sz w:val="24"/>
        </w:rPr>
        <w:t>information on the particular impact on women of poverty and deprivation that may pose a threat to their lives.</w:t>
      </w:r>
      <w:r w:rsidR="00474111">
        <w:rPr>
          <w:sz w:val="24"/>
        </w:rPr>
        <w:t>”</w:t>
      </w:r>
      <w:r w:rsidR="00474111">
        <w:rPr>
          <w:rStyle w:val="FootnoteReference"/>
          <w:sz w:val="24"/>
        </w:rPr>
        <w:footnoteReference w:id="15"/>
      </w:r>
      <w:r w:rsidR="00CB4501">
        <w:rPr>
          <w:sz w:val="24"/>
        </w:rPr>
        <w:t xml:space="preserve"> </w:t>
      </w:r>
      <w:r w:rsidR="00050041">
        <w:rPr>
          <w:sz w:val="24"/>
        </w:rPr>
        <w:t>The Committee on the Elimination of Discrimination against Women</w:t>
      </w:r>
      <w:r w:rsidR="00985967">
        <w:rPr>
          <w:sz w:val="24"/>
        </w:rPr>
        <w:t xml:space="preserve"> (CEDAW Committee)</w:t>
      </w:r>
      <w:r w:rsidR="00050041">
        <w:rPr>
          <w:sz w:val="24"/>
        </w:rPr>
        <w:t xml:space="preserve"> has noted that </w:t>
      </w:r>
      <w:r w:rsidR="00050041" w:rsidRPr="00050041">
        <w:rPr>
          <w:sz w:val="24"/>
        </w:rPr>
        <w:t>“the lack of appropriate maternal health services has a differential impact</w:t>
      </w:r>
      <w:r w:rsidR="00050041">
        <w:rPr>
          <w:sz w:val="24"/>
        </w:rPr>
        <w:t xml:space="preserve"> on the right to life of women</w:t>
      </w:r>
      <w:r w:rsidR="005E5F8D">
        <w:rPr>
          <w:sz w:val="24"/>
        </w:rPr>
        <w:t>.</w:t>
      </w:r>
      <w:r w:rsidR="00985967">
        <w:rPr>
          <w:sz w:val="24"/>
        </w:rPr>
        <w:t>”</w:t>
      </w:r>
      <w:r w:rsidR="00985967">
        <w:rPr>
          <w:rStyle w:val="FootnoteReference"/>
          <w:sz w:val="24"/>
        </w:rPr>
        <w:footnoteReference w:id="16"/>
      </w:r>
      <w:r w:rsidR="005E5F8D">
        <w:rPr>
          <w:sz w:val="24"/>
        </w:rPr>
        <w:t xml:space="preserve"> </w:t>
      </w:r>
      <w:r w:rsidR="00050041">
        <w:rPr>
          <w:sz w:val="24"/>
        </w:rPr>
        <w:t xml:space="preserve"> </w:t>
      </w:r>
      <w:r w:rsidR="00985967">
        <w:rPr>
          <w:sz w:val="24"/>
        </w:rPr>
        <w:t>I</w:t>
      </w:r>
      <w:r w:rsidR="00050041">
        <w:rPr>
          <w:sz w:val="24"/>
        </w:rPr>
        <w:t xml:space="preserve">n the case of </w:t>
      </w:r>
      <w:r w:rsidR="00050041" w:rsidRPr="005E5F8D">
        <w:rPr>
          <w:i/>
          <w:sz w:val="24"/>
        </w:rPr>
        <w:t>Alyne v. Brazil</w:t>
      </w:r>
      <w:r w:rsidR="00050041">
        <w:rPr>
          <w:sz w:val="24"/>
        </w:rPr>
        <w:t xml:space="preserve">, </w:t>
      </w:r>
      <w:r w:rsidR="00985967">
        <w:rPr>
          <w:sz w:val="24"/>
        </w:rPr>
        <w:t xml:space="preserve">the CEDAW Committee </w:t>
      </w:r>
      <w:r w:rsidR="00800DC5">
        <w:rPr>
          <w:sz w:val="24"/>
        </w:rPr>
        <w:t>found</w:t>
      </w:r>
      <w:r w:rsidR="00050041">
        <w:rPr>
          <w:sz w:val="24"/>
        </w:rPr>
        <w:t xml:space="preserve"> that the State </w:t>
      </w:r>
      <w:r w:rsidR="00800DC5">
        <w:rPr>
          <w:sz w:val="24"/>
        </w:rPr>
        <w:t>has an obligation</w:t>
      </w:r>
      <w:r w:rsidR="00050041">
        <w:rPr>
          <w:sz w:val="24"/>
        </w:rPr>
        <w:t xml:space="preserve"> to protect the right to life by </w:t>
      </w:r>
      <w:r w:rsidR="00C14D67">
        <w:rPr>
          <w:sz w:val="24"/>
        </w:rPr>
        <w:t>implement</w:t>
      </w:r>
      <w:r w:rsidR="00800DC5">
        <w:rPr>
          <w:sz w:val="24"/>
        </w:rPr>
        <w:t>ing</w:t>
      </w:r>
      <w:r w:rsidR="00050041">
        <w:rPr>
          <w:sz w:val="24"/>
        </w:rPr>
        <w:t xml:space="preserve"> adequate </w:t>
      </w:r>
      <w:r w:rsidR="00C14D67">
        <w:rPr>
          <w:sz w:val="24"/>
        </w:rPr>
        <w:t>interventions</w:t>
      </w:r>
      <w:r w:rsidR="00800DC5" w:rsidRPr="00800DC5">
        <w:rPr>
          <w:sz w:val="24"/>
        </w:rPr>
        <w:t xml:space="preserve"> </w:t>
      </w:r>
      <w:r w:rsidR="00800DC5">
        <w:rPr>
          <w:sz w:val="24"/>
        </w:rPr>
        <w:t>to prevent maternal deaths, including through the provision of appropriate medical care that is responsive to the specific health needs of women</w:t>
      </w:r>
      <w:r w:rsidR="00050041">
        <w:rPr>
          <w:rStyle w:val="FootnoteReference"/>
          <w:sz w:val="24"/>
        </w:rPr>
        <w:footnoteReference w:id="17"/>
      </w:r>
      <w:r w:rsidR="00800DC5">
        <w:rPr>
          <w:sz w:val="24"/>
        </w:rPr>
        <w:t xml:space="preserve"> and that is accessible to individuals and groups who face heightened barriers to accessing health</w:t>
      </w:r>
      <w:r w:rsidR="005E0643">
        <w:rPr>
          <w:sz w:val="24"/>
        </w:rPr>
        <w:t xml:space="preserve"> </w:t>
      </w:r>
      <w:r w:rsidR="00800DC5">
        <w:rPr>
          <w:sz w:val="24"/>
        </w:rPr>
        <w:t>care.</w:t>
      </w:r>
      <w:r w:rsidR="00800DC5">
        <w:rPr>
          <w:rStyle w:val="FootnoteReference"/>
          <w:sz w:val="24"/>
        </w:rPr>
        <w:footnoteReference w:id="18"/>
      </w:r>
      <w:r w:rsidR="00050041">
        <w:rPr>
          <w:sz w:val="24"/>
        </w:rPr>
        <w:t xml:space="preserve"> Similarly,</w:t>
      </w:r>
      <w:r w:rsidR="006852CE">
        <w:rPr>
          <w:sz w:val="24"/>
        </w:rPr>
        <w:t xml:space="preserve"> in </w:t>
      </w:r>
      <w:r w:rsidR="006852CE" w:rsidRPr="003D713A">
        <w:rPr>
          <w:i/>
          <w:sz w:val="24"/>
        </w:rPr>
        <w:t>Xákmok Kásek Indigenous Community v. Paraguay</w:t>
      </w:r>
      <w:r w:rsidR="006852CE">
        <w:rPr>
          <w:sz w:val="24"/>
        </w:rPr>
        <w:t xml:space="preserve">, the Inter-American Court noted that </w:t>
      </w:r>
      <w:r w:rsidR="006852CE" w:rsidRPr="006852CE">
        <w:rPr>
          <w:sz w:val="24"/>
        </w:rPr>
        <w:t>the lack of adequate medical care for pregnant women or women who have recently given birth result in high maternal mortality and morbidity</w:t>
      </w:r>
      <w:r w:rsidR="006852CE">
        <w:rPr>
          <w:sz w:val="24"/>
        </w:rPr>
        <w:t>, and held that a failure to ensure access to adequate maternal health care violated the right to life.</w:t>
      </w:r>
      <w:r w:rsidR="006852CE">
        <w:rPr>
          <w:rStyle w:val="FootnoteReference"/>
          <w:sz w:val="24"/>
        </w:rPr>
        <w:footnoteReference w:id="19"/>
      </w:r>
    </w:p>
    <w:p w14:paraId="2B98AAE2" w14:textId="19760AE2" w:rsidR="00004063" w:rsidRDefault="00F305E8" w:rsidP="00F305E8">
      <w:pPr>
        <w:rPr>
          <w:sz w:val="24"/>
        </w:rPr>
      </w:pPr>
      <w:r>
        <w:rPr>
          <w:sz w:val="24"/>
        </w:rPr>
        <w:t xml:space="preserve">WEI urges the Committee to </w:t>
      </w:r>
      <w:r w:rsidR="002C716F">
        <w:rPr>
          <w:sz w:val="24"/>
        </w:rPr>
        <w:t>incorporate into</w:t>
      </w:r>
      <w:r>
        <w:rPr>
          <w:sz w:val="24"/>
        </w:rPr>
        <w:t xml:space="preserve"> General Comment No. 36 </w:t>
      </w:r>
      <w:r w:rsidR="002C716F">
        <w:rPr>
          <w:sz w:val="24"/>
        </w:rPr>
        <w:t>the duty of States to guarantee</w:t>
      </w:r>
      <w:r>
        <w:rPr>
          <w:sz w:val="24"/>
        </w:rPr>
        <w:t xml:space="preserve"> the factors that are essential to a dignified life for </w:t>
      </w:r>
      <w:r w:rsidR="003301ED">
        <w:rPr>
          <w:sz w:val="24"/>
        </w:rPr>
        <w:t xml:space="preserve">all </w:t>
      </w:r>
      <w:r>
        <w:rPr>
          <w:sz w:val="24"/>
        </w:rPr>
        <w:t xml:space="preserve">women, </w:t>
      </w:r>
      <w:r w:rsidR="00F70D7D">
        <w:rPr>
          <w:sz w:val="24"/>
        </w:rPr>
        <w:t>inc</w:t>
      </w:r>
      <w:r w:rsidR="003301ED">
        <w:rPr>
          <w:sz w:val="24"/>
        </w:rPr>
        <w:t>luding women with disabilities,</w:t>
      </w:r>
      <w:r w:rsidR="00F70D7D">
        <w:rPr>
          <w:sz w:val="24"/>
        </w:rPr>
        <w:t xml:space="preserve"> </w:t>
      </w:r>
      <w:r w:rsidR="003301ED">
        <w:rPr>
          <w:sz w:val="24"/>
        </w:rPr>
        <w:t xml:space="preserve">and to make clear that </w:t>
      </w:r>
      <w:r w:rsidR="002C716F">
        <w:rPr>
          <w:sz w:val="24"/>
        </w:rPr>
        <w:t xml:space="preserve">such factors include </w:t>
      </w:r>
      <w:r w:rsidR="00C72B5A">
        <w:rPr>
          <w:sz w:val="24"/>
        </w:rPr>
        <w:t>appropriate and</w:t>
      </w:r>
      <w:r>
        <w:rPr>
          <w:sz w:val="24"/>
        </w:rPr>
        <w:t xml:space="preserve"> accessible</w:t>
      </w:r>
      <w:r w:rsidR="00776D47">
        <w:rPr>
          <w:sz w:val="24"/>
        </w:rPr>
        <w:t xml:space="preserve"> </w:t>
      </w:r>
      <w:r>
        <w:rPr>
          <w:sz w:val="24"/>
        </w:rPr>
        <w:t xml:space="preserve">sexual and </w:t>
      </w:r>
      <w:r w:rsidR="002C716F">
        <w:rPr>
          <w:sz w:val="24"/>
        </w:rPr>
        <w:t>reproductive health services</w:t>
      </w:r>
      <w:r w:rsidR="00776D47">
        <w:rPr>
          <w:sz w:val="24"/>
        </w:rPr>
        <w:t xml:space="preserve">. </w:t>
      </w:r>
    </w:p>
    <w:p w14:paraId="73DAEC9B" w14:textId="77777777" w:rsidR="00004063" w:rsidRDefault="00004063" w:rsidP="00004063">
      <w:pPr>
        <w:pStyle w:val="ListParagraph"/>
        <w:ind w:left="1080"/>
        <w:rPr>
          <w:sz w:val="24"/>
        </w:rPr>
      </w:pPr>
    </w:p>
    <w:p w14:paraId="148DEC8B" w14:textId="77777777" w:rsidR="009E5591" w:rsidRPr="006744D4" w:rsidRDefault="009E5591" w:rsidP="00004063">
      <w:pPr>
        <w:pStyle w:val="ListParagraph"/>
        <w:ind w:left="1080"/>
        <w:rPr>
          <w:sz w:val="24"/>
        </w:rPr>
      </w:pPr>
    </w:p>
    <w:p w14:paraId="30B3EE7F" w14:textId="0B94B835" w:rsidR="00004063" w:rsidRPr="00566C1D" w:rsidRDefault="00004063" w:rsidP="00004063">
      <w:pPr>
        <w:pStyle w:val="ListParagraph"/>
        <w:numPr>
          <w:ilvl w:val="0"/>
          <w:numId w:val="13"/>
        </w:numPr>
        <w:rPr>
          <w:b/>
          <w:sz w:val="24"/>
        </w:rPr>
      </w:pPr>
      <w:r>
        <w:rPr>
          <w:b/>
          <w:sz w:val="24"/>
        </w:rPr>
        <w:t xml:space="preserve">Applicability of the article to the unborn and other forms of human existence </w:t>
      </w:r>
      <w:r w:rsidR="00222867">
        <w:rPr>
          <w:b/>
          <w:sz w:val="24"/>
        </w:rPr>
        <w:t xml:space="preserve">(para. 5(c)) and possible exceptions to the duty to protect </w:t>
      </w:r>
      <w:r w:rsidR="003D507B">
        <w:rPr>
          <w:b/>
          <w:sz w:val="24"/>
        </w:rPr>
        <w:t>life</w:t>
      </w:r>
      <w:r w:rsidR="00222867">
        <w:rPr>
          <w:b/>
          <w:sz w:val="24"/>
        </w:rPr>
        <w:t xml:space="preserve"> by </w:t>
      </w:r>
      <w:r w:rsidR="003D507B">
        <w:rPr>
          <w:b/>
          <w:sz w:val="24"/>
        </w:rPr>
        <w:t>law</w:t>
      </w:r>
      <w:r w:rsidR="00222867">
        <w:rPr>
          <w:b/>
          <w:sz w:val="24"/>
        </w:rPr>
        <w:t xml:space="preserve"> (para. 6(b)).</w:t>
      </w:r>
    </w:p>
    <w:p w14:paraId="0A442DC7" w14:textId="60109680" w:rsidR="009632B0" w:rsidRDefault="00004063" w:rsidP="00004063">
      <w:pPr>
        <w:rPr>
          <w:sz w:val="24"/>
        </w:rPr>
      </w:pPr>
      <w:r>
        <w:rPr>
          <w:sz w:val="24"/>
        </w:rPr>
        <w:t xml:space="preserve">WEI </w:t>
      </w:r>
      <w:r w:rsidR="006A2F68">
        <w:rPr>
          <w:sz w:val="24"/>
        </w:rPr>
        <w:t>encourages the Committee to make clear in its General Comment No. 36 that (a) international human rights law does not protect a prenatal right to life and (b) abortion is not an exception to the duty to protect life by law, but rather access to safe abortion is essential to preserving women’s right to life</w:t>
      </w:r>
      <w:r w:rsidR="0053519E">
        <w:rPr>
          <w:sz w:val="24"/>
        </w:rPr>
        <w:t xml:space="preserve"> </w:t>
      </w:r>
      <w:r w:rsidR="00201FCC">
        <w:rPr>
          <w:sz w:val="24"/>
        </w:rPr>
        <w:t>and other fundamental rights</w:t>
      </w:r>
      <w:r w:rsidR="006A2F68">
        <w:rPr>
          <w:sz w:val="24"/>
        </w:rPr>
        <w:t xml:space="preserve">. </w:t>
      </w:r>
      <w:r w:rsidR="003532E6">
        <w:rPr>
          <w:sz w:val="24"/>
        </w:rPr>
        <w:t>F</w:t>
      </w:r>
      <w:r>
        <w:rPr>
          <w:sz w:val="24"/>
        </w:rPr>
        <w:t>r</w:t>
      </w:r>
      <w:r w:rsidR="006A2F68">
        <w:rPr>
          <w:sz w:val="24"/>
        </w:rPr>
        <w:t>aming</w:t>
      </w:r>
      <w:r>
        <w:rPr>
          <w:sz w:val="24"/>
        </w:rPr>
        <w:t xml:space="preserve"> abortion as a “possible </w:t>
      </w:r>
      <w:proofErr w:type="gramStart"/>
      <w:r>
        <w:rPr>
          <w:sz w:val="24"/>
        </w:rPr>
        <w:t>exception[</w:t>
      </w:r>
      <w:proofErr w:type="gramEnd"/>
      <w:r>
        <w:rPr>
          <w:sz w:val="24"/>
        </w:rPr>
        <w:t>] to th</w:t>
      </w:r>
      <w:r w:rsidR="00222867">
        <w:rPr>
          <w:sz w:val="24"/>
        </w:rPr>
        <w:t>e duty to protect life by law” (para. 6(b))</w:t>
      </w:r>
      <w:r w:rsidR="006A2F68">
        <w:rPr>
          <w:sz w:val="24"/>
        </w:rPr>
        <w:t xml:space="preserve"> </w:t>
      </w:r>
      <w:r w:rsidR="003532E6">
        <w:rPr>
          <w:sz w:val="24"/>
        </w:rPr>
        <w:t xml:space="preserve">could be </w:t>
      </w:r>
      <w:r w:rsidR="00BA1E01">
        <w:rPr>
          <w:sz w:val="24"/>
        </w:rPr>
        <w:lastRenderedPageBreak/>
        <w:t xml:space="preserve">improperly </w:t>
      </w:r>
      <w:r w:rsidR="003532E6">
        <w:rPr>
          <w:sz w:val="24"/>
        </w:rPr>
        <w:t xml:space="preserve">interpreted as suggesting that States parties otherwise have a duty to protect </w:t>
      </w:r>
      <w:r w:rsidR="00201FCC">
        <w:rPr>
          <w:sz w:val="24"/>
        </w:rPr>
        <w:t>prenatal life</w:t>
      </w:r>
      <w:r w:rsidR="00222867">
        <w:rPr>
          <w:sz w:val="24"/>
        </w:rPr>
        <w:t>.</w:t>
      </w:r>
      <w:r w:rsidR="00C72B5A">
        <w:rPr>
          <w:sz w:val="24"/>
        </w:rPr>
        <w:t xml:space="preserve"> While the State may have </w:t>
      </w:r>
      <w:r w:rsidR="004B6768">
        <w:rPr>
          <w:sz w:val="24"/>
        </w:rPr>
        <w:t>an</w:t>
      </w:r>
      <w:r w:rsidR="00201FCC">
        <w:rPr>
          <w:sz w:val="24"/>
        </w:rPr>
        <w:t xml:space="preserve"> </w:t>
      </w:r>
      <w:r w:rsidR="002D2B98">
        <w:rPr>
          <w:sz w:val="24"/>
        </w:rPr>
        <w:t>interest in</w:t>
      </w:r>
      <w:r w:rsidR="00201FCC">
        <w:rPr>
          <w:sz w:val="24"/>
        </w:rPr>
        <w:t xml:space="preserve"> protecting</w:t>
      </w:r>
      <w:r w:rsidR="002D2B98">
        <w:rPr>
          <w:sz w:val="24"/>
        </w:rPr>
        <w:t xml:space="preserve"> </w:t>
      </w:r>
      <w:r w:rsidR="009632B0">
        <w:rPr>
          <w:sz w:val="24"/>
        </w:rPr>
        <w:t>zygotes, embryos, and fetuses</w:t>
      </w:r>
      <w:r w:rsidR="00201FCC">
        <w:rPr>
          <w:sz w:val="24"/>
        </w:rPr>
        <w:t xml:space="preserve"> in circumstances where such protections are consistent with respecting and ensuring women’s fundamental rights</w:t>
      </w:r>
      <w:r w:rsidR="00702916">
        <w:rPr>
          <w:sz w:val="24"/>
        </w:rPr>
        <w:t>,</w:t>
      </w:r>
      <w:r w:rsidR="009E5591">
        <w:rPr>
          <w:rStyle w:val="FootnoteReference"/>
          <w:sz w:val="24"/>
        </w:rPr>
        <w:footnoteReference w:id="20"/>
      </w:r>
      <w:r w:rsidR="00702916">
        <w:rPr>
          <w:sz w:val="24"/>
        </w:rPr>
        <w:t xml:space="preserve"> </w:t>
      </w:r>
      <w:r w:rsidR="002D2B98">
        <w:rPr>
          <w:sz w:val="24"/>
        </w:rPr>
        <w:t xml:space="preserve">extending </w:t>
      </w:r>
      <w:r w:rsidR="00201FCC">
        <w:rPr>
          <w:sz w:val="24"/>
        </w:rPr>
        <w:t>a</w:t>
      </w:r>
      <w:r w:rsidR="002D2B98">
        <w:rPr>
          <w:sz w:val="24"/>
        </w:rPr>
        <w:t xml:space="preserve"> right to </w:t>
      </w:r>
      <w:r w:rsidR="00024F6D">
        <w:rPr>
          <w:sz w:val="24"/>
        </w:rPr>
        <w:t>life prenatally</w:t>
      </w:r>
      <w:r w:rsidR="007B5D33">
        <w:rPr>
          <w:sz w:val="24"/>
        </w:rPr>
        <w:t xml:space="preserve"> </w:t>
      </w:r>
      <w:r w:rsidR="008914E5">
        <w:rPr>
          <w:sz w:val="24"/>
        </w:rPr>
        <w:t xml:space="preserve">carries significant consequences for women’s enjoyment of their fundamental rights and runs contrary to </w:t>
      </w:r>
      <w:r w:rsidR="003D507B">
        <w:rPr>
          <w:sz w:val="24"/>
        </w:rPr>
        <w:t>prevailing</w:t>
      </w:r>
      <w:r w:rsidR="007927CA">
        <w:rPr>
          <w:sz w:val="24"/>
        </w:rPr>
        <w:t xml:space="preserve"> </w:t>
      </w:r>
      <w:r w:rsidR="008914E5">
        <w:rPr>
          <w:sz w:val="24"/>
        </w:rPr>
        <w:t>international human rights standards.</w:t>
      </w:r>
    </w:p>
    <w:p w14:paraId="0AA38D36" w14:textId="74E2EE8D" w:rsidR="00B2039C" w:rsidRDefault="00BD532D" w:rsidP="00BD532D">
      <w:pPr>
        <w:spacing w:before="120" w:after="120"/>
        <w:jc w:val="both"/>
        <w:rPr>
          <w:sz w:val="24"/>
        </w:rPr>
      </w:pPr>
      <w:r>
        <w:rPr>
          <w:sz w:val="24"/>
        </w:rPr>
        <w:t xml:space="preserve">Globally, efforts to codify a </w:t>
      </w:r>
      <w:r w:rsidR="003532E6">
        <w:rPr>
          <w:sz w:val="24"/>
        </w:rPr>
        <w:t>prenatal right to life</w:t>
      </w:r>
      <w:r>
        <w:rPr>
          <w:sz w:val="24"/>
        </w:rPr>
        <w:t xml:space="preserve"> </w:t>
      </w:r>
      <w:r w:rsidR="00B12602">
        <w:rPr>
          <w:sz w:val="24"/>
        </w:rPr>
        <w:t xml:space="preserve">have </w:t>
      </w:r>
      <w:r>
        <w:rPr>
          <w:sz w:val="24"/>
        </w:rPr>
        <w:t xml:space="preserve">resulted in situations where zygotes, embryos, and fetuses have been prioritized over the rights of women, resulting in </w:t>
      </w:r>
      <w:r w:rsidR="001743DF">
        <w:rPr>
          <w:sz w:val="24"/>
        </w:rPr>
        <w:t>egre</w:t>
      </w:r>
      <w:r w:rsidR="00B2039C">
        <w:rPr>
          <w:sz w:val="24"/>
        </w:rPr>
        <w:t xml:space="preserve">gious rights violations. </w:t>
      </w:r>
      <w:r w:rsidR="00A37D5A">
        <w:rPr>
          <w:sz w:val="24"/>
        </w:rPr>
        <w:t>P</w:t>
      </w:r>
      <w:r w:rsidR="00EE0B4E">
        <w:rPr>
          <w:sz w:val="24"/>
        </w:rPr>
        <w:t>rioritization of prenatal life has led to</w:t>
      </w:r>
      <w:r w:rsidR="00A37D5A">
        <w:rPr>
          <w:sz w:val="24"/>
        </w:rPr>
        <w:t>, for example</w:t>
      </w:r>
      <w:r w:rsidR="00EE0B4E">
        <w:rPr>
          <w:sz w:val="24"/>
        </w:rPr>
        <w:t>:</w:t>
      </w:r>
    </w:p>
    <w:p w14:paraId="24936EAD" w14:textId="7AE01A60" w:rsidR="00240E22" w:rsidRDefault="00EE0B4E" w:rsidP="00240E22">
      <w:pPr>
        <w:pStyle w:val="ListParagraph"/>
        <w:numPr>
          <w:ilvl w:val="0"/>
          <w:numId w:val="19"/>
        </w:numPr>
        <w:spacing w:before="120" w:after="120"/>
        <w:jc w:val="both"/>
        <w:rPr>
          <w:sz w:val="24"/>
        </w:rPr>
      </w:pPr>
      <w:r>
        <w:rPr>
          <w:b/>
          <w:sz w:val="24"/>
        </w:rPr>
        <w:t xml:space="preserve">Denial of life saving medical care. </w:t>
      </w:r>
      <w:r w:rsidR="00B2039C">
        <w:rPr>
          <w:sz w:val="24"/>
        </w:rPr>
        <w:t xml:space="preserve">In 2012, Savita Halappanavar, then 17 weeks pregnant, began experiencing severe pain and went to a hospital in Ireland, where she was told that she was miscarrying. Despite repeated requests for an abortion, she was denied this essential medical care because there was still a fetal heartbeat and the Irish constitution </w:t>
      </w:r>
      <w:r w:rsidR="00201FCC">
        <w:rPr>
          <w:sz w:val="24"/>
        </w:rPr>
        <w:t>provides for equal protection of the life of both the “unborn” and pregnant women</w:t>
      </w:r>
      <w:r w:rsidR="00B2039C">
        <w:rPr>
          <w:rStyle w:val="FootnoteReference"/>
          <w:sz w:val="24"/>
        </w:rPr>
        <w:footnoteReference w:id="21"/>
      </w:r>
      <w:r w:rsidR="00B2039C">
        <w:rPr>
          <w:sz w:val="24"/>
        </w:rPr>
        <w:t xml:space="preserve">. </w:t>
      </w:r>
      <w:r>
        <w:rPr>
          <w:sz w:val="24"/>
        </w:rPr>
        <w:t>Savita subsequently died from an</w:t>
      </w:r>
      <w:r w:rsidR="00B2039C">
        <w:rPr>
          <w:sz w:val="24"/>
        </w:rPr>
        <w:t xml:space="preserve"> infection.</w:t>
      </w:r>
      <w:r w:rsidR="00B2039C">
        <w:rPr>
          <w:rStyle w:val="FootnoteReference"/>
          <w:sz w:val="24"/>
        </w:rPr>
        <w:footnoteReference w:id="22"/>
      </w:r>
      <w:r w:rsidR="00240E22">
        <w:rPr>
          <w:sz w:val="24"/>
        </w:rPr>
        <w:t xml:space="preserve"> In its 2014 periodic review of Ireland, this Committee expressed concern about Ireland’s restrictive abortion law and “the lack of legal and procedural clarity on what constitutes ‘real and substantive risk’ to the life, as opposed to the health, of the pregnant woman” and urged Ireland to expand the grounds for legal abortion in the country.</w:t>
      </w:r>
      <w:r w:rsidR="00240E22">
        <w:rPr>
          <w:rStyle w:val="FootnoteReference"/>
          <w:sz w:val="24"/>
        </w:rPr>
        <w:footnoteReference w:id="23"/>
      </w:r>
    </w:p>
    <w:p w14:paraId="4EF06B7C" w14:textId="4709B5B8" w:rsidR="007927CA" w:rsidRDefault="00240E22" w:rsidP="00240E22">
      <w:pPr>
        <w:pStyle w:val="ListParagraph"/>
        <w:spacing w:before="120" w:after="120"/>
        <w:ind w:left="779"/>
        <w:jc w:val="both"/>
        <w:rPr>
          <w:sz w:val="24"/>
        </w:rPr>
      </w:pPr>
      <w:r>
        <w:rPr>
          <w:sz w:val="24"/>
        </w:rPr>
        <w:t xml:space="preserve"> </w:t>
      </w:r>
    </w:p>
    <w:p w14:paraId="2B9A6565" w14:textId="40E68A76" w:rsidR="00A279F2" w:rsidRPr="00A279F2" w:rsidRDefault="00EE0B4E" w:rsidP="00A279F2">
      <w:pPr>
        <w:pStyle w:val="ListParagraph"/>
        <w:numPr>
          <w:ilvl w:val="0"/>
          <w:numId w:val="19"/>
        </w:numPr>
        <w:spacing w:before="120" w:after="120"/>
        <w:jc w:val="both"/>
        <w:rPr>
          <w:sz w:val="24"/>
        </w:rPr>
      </w:pPr>
      <w:r w:rsidRPr="00A279F2">
        <w:rPr>
          <w:b/>
          <w:sz w:val="24"/>
        </w:rPr>
        <w:t>Criminalization of obstetric complications.</w:t>
      </w:r>
      <w:r w:rsidRPr="00A279F2">
        <w:rPr>
          <w:sz w:val="24"/>
        </w:rPr>
        <w:t xml:space="preserve"> In El Salvador, at least 17 women </w:t>
      </w:r>
      <w:r w:rsidR="0008003C" w:rsidRPr="00A279F2">
        <w:rPr>
          <w:sz w:val="24"/>
        </w:rPr>
        <w:t>have been imprisoned for miscarriage</w:t>
      </w:r>
      <w:r w:rsidR="0054378D">
        <w:rPr>
          <w:sz w:val="24"/>
        </w:rPr>
        <w:t>s</w:t>
      </w:r>
      <w:r w:rsidR="0008003C" w:rsidRPr="00A279F2">
        <w:rPr>
          <w:sz w:val="24"/>
        </w:rPr>
        <w:t xml:space="preserve"> or stillbirths</w:t>
      </w:r>
      <w:r w:rsidR="00A279F2">
        <w:rPr>
          <w:sz w:val="24"/>
        </w:rPr>
        <w:t>—</w:t>
      </w:r>
      <w:r w:rsidR="007C1FB7">
        <w:rPr>
          <w:sz w:val="24"/>
        </w:rPr>
        <w:t xml:space="preserve">some </w:t>
      </w:r>
      <w:r w:rsidR="00230905">
        <w:rPr>
          <w:sz w:val="24"/>
        </w:rPr>
        <w:t>facing decades-long prison sentences</w:t>
      </w:r>
      <w:r w:rsidR="00A279F2">
        <w:rPr>
          <w:sz w:val="24"/>
        </w:rPr>
        <w:t>—because they were suspected of having induced an illegal abo</w:t>
      </w:r>
      <w:r w:rsidR="007C1FB7">
        <w:rPr>
          <w:sz w:val="24"/>
        </w:rPr>
        <w:t>rtion.</w:t>
      </w:r>
      <w:r w:rsidR="007C1FB7">
        <w:rPr>
          <w:rStyle w:val="FootnoteReference"/>
          <w:sz w:val="24"/>
        </w:rPr>
        <w:footnoteReference w:id="24"/>
      </w:r>
      <w:r w:rsidR="00C56B48">
        <w:rPr>
          <w:sz w:val="24"/>
        </w:rPr>
        <w:t xml:space="preserve"> El Salvador’s Constitution provides that rights</w:t>
      </w:r>
      <w:r w:rsidR="00573F60">
        <w:rPr>
          <w:sz w:val="24"/>
        </w:rPr>
        <w:t>, including the right to life,</w:t>
      </w:r>
      <w:r w:rsidR="00C56B48">
        <w:rPr>
          <w:sz w:val="24"/>
        </w:rPr>
        <w:t xml:space="preserve"> accrue at conception.</w:t>
      </w:r>
      <w:r w:rsidR="00C56B48">
        <w:rPr>
          <w:rStyle w:val="FootnoteReference"/>
          <w:sz w:val="24"/>
        </w:rPr>
        <w:footnoteReference w:id="25"/>
      </w:r>
      <w:r w:rsidR="007927CA">
        <w:rPr>
          <w:sz w:val="24"/>
        </w:rPr>
        <w:t xml:space="preserve"> </w:t>
      </w:r>
      <w:r w:rsidR="00230905">
        <w:rPr>
          <w:sz w:val="24"/>
        </w:rPr>
        <w:t>Through the Human Rights Council’s Universal Periodic Review monitoring El Salvador’s compliance with its international human rights obligations</w:t>
      </w:r>
      <w:r w:rsidR="00B12602">
        <w:rPr>
          <w:sz w:val="24"/>
        </w:rPr>
        <w:t xml:space="preserve"> in 2014</w:t>
      </w:r>
      <w:r w:rsidR="00230905">
        <w:rPr>
          <w:sz w:val="24"/>
        </w:rPr>
        <w:t>, twelve countries called on El Salvador to decriminalize abortion.</w:t>
      </w:r>
      <w:r w:rsidR="00230905">
        <w:rPr>
          <w:rStyle w:val="FootnoteReference"/>
          <w:sz w:val="24"/>
        </w:rPr>
        <w:footnoteReference w:id="26"/>
      </w:r>
    </w:p>
    <w:p w14:paraId="45A84C2D" w14:textId="77777777" w:rsidR="00A279F2" w:rsidRPr="00A279F2" w:rsidRDefault="00A279F2" w:rsidP="00A279F2">
      <w:pPr>
        <w:pStyle w:val="ListParagraph"/>
        <w:spacing w:before="120" w:after="120"/>
        <w:ind w:left="779"/>
        <w:jc w:val="both"/>
        <w:rPr>
          <w:sz w:val="24"/>
        </w:rPr>
      </w:pPr>
    </w:p>
    <w:p w14:paraId="37F2EA30" w14:textId="4D3A7D71" w:rsidR="004C3C8A" w:rsidRPr="003301ED" w:rsidRDefault="00EE0B4E" w:rsidP="003301ED">
      <w:pPr>
        <w:pStyle w:val="ListParagraph"/>
        <w:numPr>
          <w:ilvl w:val="0"/>
          <w:numId w:val="19"/>
        </w:numPr>
        <w:spacing w:before="120" w:after="120"/>
        <w:jc w:val="both"/>
        <w:rPr>
          <w:sz w:val="24"/>
        </w:rPr>
      </w:pPr>
      <w:r w:rsidRPr="007B7A35">
        <w:rPr>
          <w:b/>
          <w:sz w:val="24"/>
        </w:rPr>
        <w:t xml:space="preserve">Denial of access to </w:t>
      </w:r>
      <w:r w:rsidR="00573F60" w:rsidRPr="007B7A35">
        <w:rPr>
          <w:b/>
          <w:sz w:val="24"/>
        </w:rPr>
        <w:t>assisted reproductive technology</w:t>
      </w:r>
      <w:r w:rsidRPr="007B7A35">
        <w:rPr>
          <w:b/>
          <w:sz w:val="24"/>
        </w:rPr>
        <w:t xml:space="preserve">. </w:t>
      </w:r>
      <w:r w:rsidRPr="007B7A35">
        <w:rPr>
          <w:sz w:val="24"/>
        </w:rPr>
        <w:t xml:space="preserve">In </w:t>
      </w:r>
      <w:r w:rsidR="007F53F8" w:rsidRPr="007B7A35">
        <w:rPr>
          <w:sz w:val="24"/>
        </w:rPr>
        <w:t xml:space="preserve">2000, </w:t>
      </w:r>
      <w:r w:rsidRPr="007B7A35">
        <w:rPr>
          <w:sz w:val="24"/>
        </w:rPr>
        <w:t>Costa Rica</w:t>
      </w:r>
      <w:r w:rsidR="007F53F8" w:rsidRPr="007B7A35">
        <w:rPr>
          <w:sz w:val="24"/>
        </w:rPr>
        <w:t xml:space="preserve">’s Constitutional Chamber of the Supreme Court of Justice held that life begins at </w:t>
      </w:r>
      <w:r w:rsidR="004F7794" w:rsidRPr="007B7A35">
        <w:rPr>
          <w:sz w:val="24"/>
        </w:rPr>
        <w:t>fertilization</w:t>
      </w:r>
      <w:r w:rsidR="007F53F8" w:rsidRPr="007B7A35">
        <w:rPr>
          <w:sz w:val="24"/>
        </w:rPr>
        <w:t xml:space="preserve"> and accordingly outlawed </w:t>
      </w:r>
      <w:r w:rsidR="007F53F8" w:rsidRPr="007B7A35">
        <w:rPr>
          <w:i/>
          <w:sz w:val="24"/>
        </w:rPr>
        <w:t>in vitro</w:t>
      </w:r>
      <w:r w:rsidR="007F53F8" w:rsidRPr="007B7A35">
        <w:rPr>
          <w:sz w:val="24"/>
        </w:rPr>
        <w:t xml:space="preserve"> fertilization </w:t>
      </w:r>
      <w:r w:rsidR="00C72B5A">
        <w:rPr>
          <w:sz w:val="24"/>
        </w:rPr>
        <w:t>given that</w:t>
      </w:r>
      <w:r w:rsidR="00C72B5A" w:rsidRPr="007B7A35">
        <w:rPr>
          <w:sz w:val="24"/>
        </w:rPr>
        <w:t xml:space="preserve"> </w:t>
      </w:r>
      <w:r w:rsidR="00C72B5A">
        <w:rPr>
          <w:sz w:val="24"/>
        </w:rPr>
        <w:t>some</w:t>
      </w:r>
      <w:r w:rsidR="00C72B5A" w:rsidRPr="007B7A35">
        <w:rPr>
          <w:sz w:val="24"/>
        </w:rPr>
        <w:t xml:space="preserve"> embryos</w:t>
      </w:r>
      <w:r w:rsidR="00C72B5A">
        <w:rPr>
          <w:sz w:val="24"/>
        </w:rPr>
        <w:t xml:space="preserve"> would inevitably perish</w:t>
      </w:r>
      <w:r w:rsidR="007F53F8" w:rsidRPr="007B7A35">
        <w:rPr>
          <w:sz w:val="24"/>
        </w:rPr>
        <w:t>.</w:t>
      </w:r>
      <w:r w:rsidR="008D0EC7">
        <w:rPr>
          <w:rStyle w:val="FootnoteReference"/>
          <w:sz w:val="24"/>
        </w:rPr>
        <w:footnoteReference w:id="27"/>
      </w:r>
      <w:r w:rsidR="007F53F8" w:rsidRPr="007B7A35">
        <w:rPr>
          <w:sz w:val="24"/>
        </w:rPr>
        <w:t xml:space="preserve"> In 2012, the Inter-American Court of Human </w:t>
      </w:r>
      <w:r w:rsidR="007F53F8" w:rsidRPr="007B7A35">
        <w:rPr>
          <w:sz w:val="24"/>
        </w:rPr>
        <w:lastRenderedPageBreak/>
        <w:t xml:space="preserve">Rights held that </w:t>
      </w:r>
      <w:r w:rsidR="004F7794" w:rsidRPr="007B7A35">
        <w:rPr>
          <w:sz w:val="24"/>
        </w:rPr>
        <w:t xml:space="preserve">the prohibition of </w:t>
      </w:r>
      <w:r w:rsidR="004F7794" w:rsidRPr="007B7A35">
        <w:rPr>
          <w:i/>
          <w:sz w:val="24"/>
        </w:rPr>
        <w:t>in vitro</w:t>
      </w:r>
      <w:r w:rsidR="004F7794" w:rsidRPr="007B7A35">
        <w:rPr>
          <w:sz w:val="24"/>
        </w:rPr>
        <w:t xml:space="preserve"> fertilization violated </w:t>
      </w:r>
      <w:r w:rsidR="00456963" w:rsidRPr="007B7A35">
        <w:rPr>
          <w:sz w:val="24"/>
        </w:rPr>
        <w:t xml:space="preserve">a number of </w:t>
      </w:r>
      <w:r w:rsidR="004F7794" w:rsidRPr="007B7A35">
        <w:rPr>
          <w:sz w:val="24"/>
        </w:rPr>
        <w:t>rights</w:t>
      </w:r>
      <w:r w:rsidR="00456963" w:rsidRPr="007B7A35">
        <w:rPr>
          <w:sz w:val="24"/>
        </w:rPr>
        <w:t>, including the rights to physical and mental integrity, personal liberty, privacy,</w:t>
      </w:r>
      <w:r w:rsidR="004F7794" w:rsidRPr="007B7A35">
        <w:rPr>
          <w:sz w:val="24"/>
        </w:rPr>
        <w:t xml:space="preserve"> and </w:t>
      </w:r>
      <w:r w:rsidR="007B7A35">
        <w:rPr>
          <w:sz w:val="24"/>
        </w:rPr>
        <w:t>the right to be free from</w:t>
      </w:r>
      <w:r w:rsidR="004F7794" w:rsidRPr="007B7A35">
        <w:rPr>
          <w:sz w:val="24"/>
        </w:rPr>
        <w:t xml:space="preserve"> </w:t>
      </w:r>
      <w:r w:rsidR="007B7A35">
        <w:rPr>
          <w:sz w:val="24"/>
        </w:rPr>
        <w:t>gender-based discrimination</w:t>
      </w:r>
      <w:r w:rsidR="004F7794" w:rsidRPr="007B7A35">
        <w:rPr>
          <w:sz w:val="24"/>
        </w:rPr>
        <w:t>.</w:t>
      </w:r>
      <w:r w:rsidR="00285E13">
        <w:rPr>
          <w:rStyle w:val="FootnoteReference"/>
          <w:sz w:val="24"/>
        </w:rPr>
        <w:footnoteReference w:id="28"/>
      </w:r>
      <w:r w:rsidR="004C3C8A" w:rsidRPr="007B7A35">
        <w:rPr>
          <w:sz w:val="24"/>
        </w:rPr>
        <w:t xml:space="preserve"> </w:t>
      </w:r>
    </w:p>
    <w:p w14:paraId="074312E2" w14:textId="015D8FC4" w:rsidR="00702916" w:rsidRPr="005474F6" w:rsidRDefault="00004063" w:rsidP="00004063">
      <w:pPr>
        <w:rPr>
          <w:sz w:val="24"/>
        </w:rPr>
      </w:pPr>
      <w:r>
        <w:rPr>
          <w:sz w:val="24"/>
        </w:rPr>
        <w:t xml:space="preserve">Although the International Covenant on Civil and Political Rights does not specify when the right to life </w:t>
      </w:r>
      <w:r w:rsidR="00222867">
        <w:rPr>
          <w:sz w:val="24"/>
        </w:rPr>
        <w:t>begins</w:t>
      </w:r>
      <w:r>
        <w:rPr>
          <w:sz w:val="24"/>
        </w:rPr>
        <w:t xml:space="preserve">, the </w:t>
      </w:r>
      <w:r>
        <w:rPr>
          <w:i/>
          <w:sz w:val="24"/>
        </w:rPr>
        <w:t>travaux préparatoires</w:t>
      </w:r>
      <w:r>
        <w:rPr>
          <w:sz w:val="24"/>
        </w:rPr>
        <w:t xml:space="preserve"> </w:t>
      </w:r>
      <w:r w:rsidR="009632B0">
        <w:rPr>
          <w:sz w:val="24"/>
        </w:rPr>
        <w:t>suggest</w:t>
      </w:r>
      <w:r>
        <w:rPr>
          <w:sz w:val="24"/>
        </w:rPr>
        <w:t xml:space="preserve"> that the article 6 right to life </w:t>
      </w:r>
      <w:r w:rsidR="00702916">
        <w:rPr>
          <w:sz w:val="24"/>
        </w:rPr>
        <w:t>was never intended to extend</w:t>
      </w:r>
      <w:r>
        <w:rPr>
          <w:sz w:val="24"/>
        </w:rPr>
        <w:t xml:space="preserve"> prenatally. </w:t>
      </w:r>
      <w:r w:rsidR="00BD532D">
        <w:rPr>
          <w:sz w:val="24"/>
        </w:rPr>
        <w:t>Specifically</w:t>
      </w:r>
      <w:r>
        <w:rPr>
          <w:sz w:val="24"/>
        </w:rPr>
        <w:t xml:space="preserve">, the </w:t>
      </w:r>
      <w:r w:rsidR="00A37D5A">
        <w:rPr>
          <w:sz w:val="24"/>
        </w:rPr>
        <w:t>drafters</w:t>
      </w:r>
      <w:r>
        <w:rPr>
          <w:sz w:val="24"/>
        </w:rPr>
        <w:t xml:space="preserve"> of the Covenant rejected a proposal to amend article </w:t>
      </w:r>
      <w:r w:rsidR="00702916">
        <w:rPr>
          <w:sz w:val="24"/>
        </w:rPr>
        <w:t xml:space="preserve">6 </w:t>
      </w:r>
      <w:r>
        <w:rPr>
          <w:sz w:val="24"/>
        </w:rPr>
        <w:t xml:space="preserve">to </w:t>
      </w:r>
      <w:proofErr w:type="gramStart"/>
      <w:r>
        <w:rPr>
          <w:sz w:val="24"/>
        </w:rPr>
        <w:t>read</w:t>
      </w:r>
      <w:proofErr w:type="gramEnd"/>
      <w:r w:rsidRPr="00736584">
        <w:rPr>
          <w:sz w:val="24"/>
        </w:rPr>
        <w:t xml:space="preserve"> “the right to life is inherent in the human person from the moment of conception, this right</w:t>
      </w:r>
      <w:r>
        <w:rPr>
          <w:sz w:val="24"/>
        </w:rPr>
        <w:t xml:space="preserve"> shall be protected by law.”</w:t>
      </w:r>
      <w:r>
        <w:rPr>
          <w:rStyle w:val="FootnoteReference"/>
          <w:sz w:val="24"/>
        </w:rPr>
        <w:footnoteReference w:id="29"/>
      </w:r>
      <w:r w:rsidR="00266B7F">
        <w:rPr>
          <w:sz w:val="24"/>
        </w:rPr>
        <w:t xml:space="preserve"> The CEDAW Committee </w:t>
      </w:r>
      <w:r w:rsidR="004D0336">
        <w:rPr>
          <w:sz w:val="24"/>
        </w:rPr>
        <w:t>has</w:t>
      </w:r>
      <w:r w:rsidR="00266B7F">
        <w:rPr>
          <w:sz w:val="24"/>
        </w:rPr>
        <w:t xml:space="preserve"> further clarified that </w:t>
      </w:r>
      <w:r w:rsidR="004D0336">
        <w:rPr>
          <w:sz w:val="24"/>
        </w:rPr>
        <w:t>prioritization of</w:t>
      </w:r>
      <w:r w:rsidR="00266B7F">
        <w:rPr>
          <w:sz w:val="24"/>
        </w:rPr>
        <w:t xml:space="preserve"> the interests of a zygote, embryo, or</w:t>
      </w:r>
      <w:r w:rsidR="004D0336">
        <w:rPr>
          <w:sz w:val="24"/>
        </w:rPr>
        <w:t xml:space="preserve"> fetus over the rights of </w:t>
      </w:r>
      <w:r w:rsidR="004B6768">
        <w:rPr>
          <w:sz w:val="24"/>
        </w:rPr>
        <w:t>a woma</w:t>
      </w:r>
      <w:r w:rsidR="004D0336">
        <w:rPr>
          <w:sz w:val="24"/>
        </w:rPr>
        <w:t>n constitutes gender-based discrimination</w:t>
      </w:r>
      <w:r w:rsidR="00266B7F">
        <w:rPr>
          <w:sz w:val="24"/>
        </w:rPr>
        <w:t>.</w:t>
      </w:r>
      <w:r w:rsidR="00266B7F">
        <w:rPr>
          <w:rStyle w:val="FootnoteReference"/>
          <w:sz w:val="24"/>
        </w:rPr>
        <w:footnoteReference w:id="30"/>
      </w:r>
      <w:r w:rsidR="00BD532D">
        <w:rPr>
          <w:sz w:val="24"/>
        </w:rPr>
        <w:t xml:space="preserve"> </w:t>
      </w:r>
      <w:r w:rsidR="00702916">
        <w:rPr>
          <w:sz w:val="24"/>
        </w:rPr>
        <w:t>Significantly,</w:t>
      </w:r>
      <w:r w:rsidR="00BD532D">
        <w:rPr>
          <w:sz w:val="24"/>
        </w:rPr>
        <w:t xml:space="preserve"> this Committee,</w:t>
      </w:r>
      <w:r w:rsidR="00BD532D">
        <w:rPr>
          <w:rStyle w:val="FootnoteReference"/>
          <w:sz w:val="24"/>
        </w:rPr>
        <w:footnoteReference w:id="31"/>
      </w:r>
      <w:r w:rsidR="00BD532D">
        <w:rPr>
          <w:sz w:val="24"/>
        </w:rPr>
        <w:t xml:space="preserve"> other U.N. treaty bodies,</w:t>
      </w:r>
      <w:r w:rsidR="00A37D5A">
        <w:rPr>
          <w:rStyle w:val="FootnoteReference"/>
          <w:sz w:val="24"/>
        </w:rPr>
        <w:footnoteReference w:id="32"/>
      </w:r>
      <w:r w:rsidR="00BD532D">
        <w:rPr>
          <w:sz w:val="24"/>
        </w:rPr>
        <w:t xml:space="preserve"> and regional human rights systems</w:t>
      </w:r>
      <w:r w:rsidR="00FD65BD">
        <w:rPr>
          <w:rStyle w:val="FootnoteReference"/>
          <w:sz w:val="24"/>
        </w:rPr>
        <w:footnoteReference w:id="33"/>
      </w:r>
      <w:r w:rsidR="00BD532D">
        <w:rPr>
          <w:sz w:val="24"/>
        </w:rPr>
        <w:t xml:space="preserve"> have consistently </w:t>
      </w:r>
      <w:r w:rsidR="004D0336">
        <w:rPr>
          <w:sz w:val="24"/>
        </w:rPr>
        <w:t>found</w:t>
      </w:r>
      <w:r w:rsidR="00BD532D">
        <w:rPr>
          <w:sz w:val="24"/>
        </w:rPr>
        <w:t xml:space="preserve"> that States have an obligation to safeguard </w:t>
      </w:r>
      <w:r w:rsidR="00A37D5A">
        <w:rPr>
          <w:sz w:val="24"/>
        </w:rPr>
        <w:t xml:space="preserve">women’s fundamental rights to, </w:t>
      </w:r>
      <w:r w:rsidR="00A37D5A" w:rsidRPr="00A37D5A">
        <w:rPr>
          <w:i/>
          <w:sz w:val="24"/>
        </w:rPr>
        <w:t>inter alia</w:t>
      </w:r>
      <w:r w:rsidR="00FD65BD">
        <w:rPr>
          <w:sz w:val="24"/>
        </w:rPr>
        <w:t xml:space="preserve">, life and health </w:t>
      </w:r>
      <w:r w:rsidR="00A37D5A">
        <w:rPr>
          <w:sz w:val="24"/>
        </w:rPr>
        <w:t>and that access to safe abortion and other sexual and reproductive health care is essential to such protections.</w:t>
      </w:r>
      <w:r w:rsidR="00087B95">
        <w:rPr>
          <w:sz w:val="24"/>
        </w:rPr>
        <w:t xml:space="preserve"> </w:t>
      </w:r>
    </w:p>
    <w:p w14:paraId="6AA39B1D" w14:textId="7D60FFFB" w:rsidR="00024F6D" w:rsidRDefault="00024F6D" w:rsidP="00776D47">
      <w:pPr>
        <w:spacing w:before="120" w:after="120"/>
        <w:jc w:val="both"/>
        <w:rPr>
          <w:sz w:val="24"/>
        </w:rPr>
      </w:pPr>
      <w:r>
        <w:rPr>
          <w:sz w:val="24"/>
        </w:rPr>
        <w:t>WEI urges the Committee to state unequivocally</w:t>
      </w:r>
      <w:r w:rsidR="00087B95">
        <w:rPr>
          <w:sz w:val="24"/>
        </w:rPr>
        <w:t xml:space="preserve"> in General Comment No. 36</w:t>
      </w:r>
      <w:r>
        <w:rPr>
          <w:sz w:val="24"/>
        </w:rPr>
        <w:t xml:space="preserve"> that the right to li</w:t>
      </w:r>
      <w:r w:rsidR="00B12602">
        <w:rPr>
          <w:sz w:val="24"/>
        </w:rPr>
        <w:t>fe does not apply to zygotes, embryos</w:t>
      </w:r>
      <w:r w:rsidR="004248B9">
        <w:rPr>
          <w:sz w:val="24"/>
        </w:rPr>
        <w:t>,</w:t>
      </w:r>
      <w:r w:rsidR="00B12602">
        <w:rPr>
          <w:sz w:val="24"/>
        </w:rPr>
        <w:t xml:space="preserve"> and fetuses</w:t>
      </w:r>
      <w:r w:rsidR="004C27C1">
        <w:rPr>
          <w:sz w:val="24"/>
        </w:rPr>
        <w:t xml:space="preserve">. It is crucial that the Committee uphold its existing jurisprudence and articulate that access to safe and legal abortion does not contravene a State’s obligations to protect the right to life. </w:t>
      </w:r>
      <w:r w:rsidR="00B12602">
        <w:rPr>
          <w:sz w:val="24"/>
        </w:rPr>
        <w:t>T</w:t>
      </w:r>
      <w:r w:rsidR="004C27C1">
        <w:rPr>
          <w:sz w:val="24"/>
        </w:rPr>
        <w:t xml:space="preserve">he Committee should </w:t>
      </w:r>
      <w:r w:rsidR="009E7764">
        <w:rPr>
          <w:sz w:val="24"/>
        </w:rPr>
        <w:t xml:space="preserve">further </w:t>
      </w:r>
      <w:r w:rsidR="004C27C1">
        <w:rPr>
          <w:sz w:val="24"/>
        </w:rPr>
        <w:t xml:space="preserve">make clear that </w:t>
      </w:r>
      <w:r w:rsidR="009E7764">
        <w:rPr>
          <w:sz w:val="24"/>
        </w:rPr>
        <w:t>access to safe abortion</w:t>
      </w:r>
      <w:r w:rsidR="004C27C1">
        <w:rPr>
          <w:sz w:val="24"/>
        </w:rPr>
        <w:t xml:space="preserve"> is not an exception to the duty to prote</w:t>
      </w:r>
      <w:r w:rsidR="009E7764">
        <w:rPr>
          <w:sz w:val="24"/>
        </w:rPr>
        <w:t>ct life by law, but rather that</w:t>
      </w:r>
      <w:r w:rsidR="004C27C1">
        <w:rPr>
          <w:sz w:val="24"/>
        </w:rPr>
        <w:t xml:space="preserve"> abortion</w:t>
      </w:r>
      <w:r w:rsidR="009E7764">
        <w:rPr>
          <w:sz w:val="24"/>
        </w:rPr>
        <w:t xml:space="preserve"> </w:t>
      </w:r>
      <w:r w:rsidR="004C27C1">
        <w:rPr>
          <w:sz w:val="24"/>
        </w:rPr>
        <w:t>is essential to preserving women’s fundamental human rights, including the right to life.</w:t>
      </w:r>
    </w:p>
    <w:p w14:paraId="0D493FB7" w14:textId="77777777" w:rsidR="004248B9" w:rsidRDefault="004248B9" w:rsidP="00776D47">
      <w:pPr>
        <w:spacing w:before="120" w:after="120"/>
        <w:jc w:val="both"/>
        <w:rPr>
          <w:sz w:val="24"/>
        </w:rPr>
      </w:pPr>
    </w:p>
    <w:p w14:paraId="4E1E1457" w14:textId="77777777" w:rsidR="004248B9" w:rsidRDefault="004248B9" w:rsidP="00776D47">
      <w:pPr>
        <w:spacing w:before="120" w:after="120"/>
        <w:jc w:val="both"/>
        <w:rPr>
          <w:sz w:val="24"/>
        </w:rPr>
      </w:pPr>
    </w:p>
    <w:p w14:paraId="72FF24AB" w14:textId="77777777" w:rsidR="004248B9" w:rsidRPr="006744D4" w:rsidRDefault="004248B9" w:rsidP="00776D47">
      <w:pPr>
        <w:spacing w:before="120" w:after="120"/>
        <w:jc w:val="both"/>
        <w:rPr>
          <w:sz w:val="24"/>
        </w:rPr>
      </w:pPr>
    </w:p>
    <w:p w14:paraId="17833BFC" w14:textId="6078E8B2" w:rsidR="00776D47" w:rsidRDefault="00F305E8" w:rsidP="00004063">
      <w:pPr>
        <w:pStyle w:val="ListParagraph"/>
        <w:numPr>
          <w:ilvl w:val="0"/>
          <w:numId w:val="13"/>
        </w:numPr>
        <w:rPr>
          <w:b/>
          <w:sz w:val="24"/>
        </w:rPr>
      </w:pPr>
      <w:r>
        <w:rPr>
          <w:b/>
          <w:sz w:val="24"/>
        </w:rPr>
        <w:lastRenderedPageBreak/>
        <w:t>Conclusion</w:t>
      </w:r>
    </w:p>
    <w:p w14:paraId="295A8DAE" w14:textId="57AE6C8F" w:rsidR="00065DFC" w:rsidRDefault="00065DFC" w:rsidP="00776D47">
      <w:pPr>
        <w:rPr>
          <w:sz w:val="24"/>
        </w:rPr>
      </w:pPr>
      <w:r>
        <w:rPr>
          <w:sz w:val="24"/>
        </w:rPr>
        <w:t xml:space="preserve">WEI encourages this Committee to ensure that General Comment No. 36 addresses States parties’ obligations to respect and ensure the right to life of women and girls, including women and girls with disabilities by emphasizing: </w:t>
      </w:r>
    </w:p>
    <w:p w14:paraId="20A0E1AE" w14:textId="51DE11D4" w:rsidR="00776D47" w:rsidRDefault="00065DFC" w:rsidP="00065DFC">
      <w:pPr>
        <w:pStyle w:val="ListParagraph"/>
        <w:numPr>
          <w:ilvl w:val="0"/>
          <w:numId w:val="20"/>
        </w:numPr>
        <w:rPr>
          <w:sz w:val="24"/>
        </w:rPr>
      </w:pPr>
      <w:r>
        <w:rPr>
          <w:sz w:val="24"/>
        </w:rPr>
        <w:t>States have a</w:t>
      </w:r>
      <w:r w:rsidRPr="00065DFC">
        <w:rPr>
          <w:sz w:val="24"/>
        </w:rPr>
        <w:t xml:space="preserve"> duty to guarantee the conditions for a dignified life, including through the provision of sexual and reproductive health services that are responsive to women’</w:t>
      </w:r>
      <w:r>
        <w:rPr>
          <w:sz w:val="24"/>
        </w:rPr>
        <w:t>s distinct health care needs and accessible to women who face heightened barriers to health care;</w:t>
      </w:r>
    </w:p>
    <w:p w14:paraId="3B8EC27A" w14:textId="40FF9539" w:rsidR="00065DFC" w:rsidRDefault="00065DFC" w:rsidP="00065DFC">
      <w:pPr>
        <w:pStyle w:val="ListParagraph"/>
        <w:numPr>
          <w:ilvl w:val="0"/>
          <w:numId w:val="20"/>
        </w:numPr>
        <w:rPr>
          <w:sz w:val="24"/>
        </w:rPr>
      </w:pPr>
      <w:r>
        <w:rPr>
          <w:sz w:val="24"/>
        </w:rPr>
        <w:t>Access to safe and legal abortion is essential to safeguarding women’s fundamental rights, including the right to life; and</w:t>
      </w:r>
    </w:p>
    <w:p w14:paraId="5965A9A7" w14:textId="3DA6E0F6" w:rsidR="00776D47" w:rsidRPr="005E0643" w:rsidRDefault="005E0643" w:rsidP="00776D47">
      <w:pPr>
        <w:pStyle w:val="ListParagraph"/>
        <w:numPr>
          <w:ilvl w:val="0"/>
          <w:numId w:val="20"/>
        </w:numPr>
        <w:rPr>
          <w:sz w:val="24"/>
        </w:rPr>
      </w:pPr>
      <w:r>
        <w:rPr>
          <w:sz w:val="24"/>
        </w:rPr>
        <w:t xml:space="preserve">The right to life does not apply to zygotes, embryos or fetuses, and any protections States do grant to </w:t>
      </w:r>
      <w:r w:rsidR="00B12602">
        <w:rPr>
          <w:sz w:val="24"/>
        </w:rPr>
        <w:t xml:space="preserve">prenatal life </w:t>
      </w:r>
      <w:r>
        <w:rPr>
          <w:sz w:val="24"/>
        </w:rPr>
        <w:t>cannot be prioritized over women’s fundamental rights.</w:t>
      </w:r>
      <w:bookmarkStart w:id="0" w:name="_GoBack"/>
      <w:bookmarkEnd w:id="0"/>
    </w:p>
    <w:p w14:paraId="4604A0D8" w14:textId="61A7511B" w:rsidR="002F7CB2" w:rsidRDefault="002F7CB2" w:rsidP="002F7CB2">
      <w:pPr>
        <w:ind w:right="-360"/>
        <w:rPr>
          <w:sz w:val="24"/>
        </w:rPr>
      </w:pPr>
      <w:r w:rsidRPr="00033DF9">
        <w:rPr>
          <w:sz w:val="24"/>
        </w:rPr>
        <w:t xml:space="preserve">Thank you for this opportunity to provide comments to the </w:t>
      </w:r>
      <w:r>
        <w:rPr>
          <w:sz w:val="24"/>
        </w:rPr>
        <w:t xml:space="preserve">General Comment </w:t>
      </w:r>
      <w:r w:rsidR="005E0643">
        <w:rPr>
          <w:sz w:val="24"/>
        </w:rPr>
        <w:t>36 –</w:t>
      </w:r>
      <w:r>
        <w:rPr>
          <w:sz w:val="24"/>
        </w:rPr>
        <w:t xml:space="preserve"> Article 6: Right to Life.</w:t>
      </w:r>
      <w:r w:rsidRPr="00033DF9">
        <w:rPr>
          <w:sz w:val="24"/>
        </w:rPr>
        <w:t xml:space="preserve"> </w:t>
      </w:r>
      <w:r>
        <w:rPr>
          <w:sz w:val="24"/>
        </w:rPr>
        <w:t>P</w:t>
      </w:r>
      <w:r w:rsidRPr="00033DF9">
        <w:rPr>
          <w:sz w:val="24"/>
        </w:rPr>
        <w:t>lease do not hesitate to contact us</w:t>
      </w:r>
      <w:r w:rsidR="005D6327">
        <w:rPr>
          <w:sz w:val="24"/>
        </w:rPr>
        <w:t xml:space="preserve"> at the emails below or by telephone (+1-202-630-3818)</w:t>
      </w:r>
      <w:r w:rsidRPr="00033DF9">
        <w:rPr>
          <w:sz w:val="24"/>
        </w:rPr>
        <w:t xml:space="preserve"> should you have any questions or require additional information on any of the comments addressed herein.</w:t>
      </w:r>
    </w:p>
    <w:p w14:paraId="3A9B498C" w14:textId="77777777" w:rsidR="002F7CB2" w:rsidRDefault="002F7CB2" w:rsidP="002F7CB2">
      <w:pPr>
        <w:ind w:right="-360"/>
        <w:rPr>
          <w:sz w:val="24"/>
        </w:rPr>
      </w:pPr>
      <w:r>
        <w:rPr>
          <w:sz w:val="24"/>
        </w:rPr>
        <w:t>Sincerely,</w:t>
      </w:r>
    </w:p>
    <w:p w14:paraId="726159D8" w14:textId="049FE23A" w:rsidR="002F7CB2" w:rsidRDefault="002F7CB2" w:rsidP="002F7CB2">
      <w:pPr>
        <w:spacing w:after="0"/>
        <w:ind w:right="-360"/>
        <w:rPr>
          <w:sz w:val="24"/>
        </w:rPr>
      </w:pPr>
      <w:r>
        <w:rPr>
          <w:sz w:val="24"/>
        </w:rPr>
        <w:t>Stephanie Ortoleva, Esq.</w:t>
      </w:r>
      <w:r>
        <w:rPr>
          <w:sz w:val="24"/>
        </w:rPr>
        <w:tab/>
      </w:r>
      <w:r>
        <w:rPr>
          <w:sz w:val="24"/>
        </w:rPr>
        <w:tab/>
      </w:r>
      <w:r>
        <w:rPr>
          <w:sz w:val="24"/>
        </w:rPr>
        <w:tab/>
      </w:r>
      <w:r w:rsidR="005E0643">
        <w:rPr>
          <w:sz w:val="24"/>
        </w:rPr>
        <w:t>Suzannah Phillips</w:t>
      </w:r>
    </w:p>
    <w:p w14:paraId="1BC0B971" w14:textId="1A96780B" w:rsidR="002F7CB2" w:rsidRPr="005E0643" w:rsidRDefault="002F7CB2" w:rsidP="005E0643">
      <w:pPr>
        <w:spacing w:after="0"/>
      </w:pPr>
      <w:r>
        <w:rPr>
          <w:sz w:val="24"/>
        </w:rPr>
        <w:t>President</w:t>
      </w:r>
      <w:r>
        <w:rPr>
          <w:sz w:val="24"/>
        </w:rPr>
        <w:tab/>
      </w:r>
      <w:r>
        <w:rPr>
          <w:sz w:val="24"/>
        </w:rPr>
        <w:tab/>
      </w:r>
      <w:r>
        <w:rPr>
          <w:sz w:val="24"/>
        </w:rPr>
        <w:tab/>
      </w:r>
      <w:r>
        <w:rPr>
          <w:sz w:val="24"/>
        </w:rPr>
        <w:tab/>
      </w:r>
      <w:r>
        <w:rPr>
          <w:sz w:val="24"/>
        </w:rPr>
        <w:tab/>
      </w:r>
      <w:r w:rsidR="005E0643">
        <w:rPr>
          <w:sz w:val="24"/>
        </w:rPr>
        <w:t>Legal Advisor</w:t>
      </w:r>
    </w:p>
    <w:p w14:paraId="4B96F533" w14:textId="0817ED16" w:rsidR="002F7CB2" w:rsidRDefault="002F7CB2" w:rsidP="005E0643">
      <w:pPr>
        <w:spacing w:after="0"/>
        <w:rPr>
          <w:sz w:val="24"/>
        </w:rPr>
      </w:pPr>
      <w:r>
        <w:rPr>
          <w:sz w:val="24"/>
        </w:rPr>
        <w:t>Women Enabled International</w:t>
      </w:r>
      <w:r>
        <w:rPr>
          <w:sz w:val="24"/>
        </w:rPr>
        <w:tab/>
      </w:r>
      <w:r>
        <w:rPr>
          <w:sz w:val="24"/>
        </w:rPr>
        <w:tab/>
      </w:r>
      <w:r w:rsidR="005E0643">
        <w:rPr>
          <w:sz w:val="24"/>
        </w:rPr>
        <w:t>Women Enabled International</w:t>
      </w:r>
    </w:p>
    <w:p w14:paraId="79497480" w14:textId="12647E0E" w:rsidR="002F7CB2" w:rsidRPr="00033DF9" w:rsidRDefault="004248B9" w:rsidP="002F7CB2">
      <w:pPr>
        <w:spacing w:after="0"/>
        <w:ind w:right="-360"/>
        <w:rPr>
          <w:sz w:val="24"/>
        </w:rPr>
      </w:pPr>
      <w:hyperlink r:id="rId10" w:history="1">
        <w:r w:rsidR="002F7CB2" w:rsidRPr="008B42E6">
          <w:rPr>
            <w:rStyle w:val="Hyperlink"/>
            <w:sz w:val="24"/>
          </w:rPr>
          <w:t>President@WomenEnabled.org</w:t>
        </w:r>
      </w:hyperlink>
      <w:r w:rsidR="002F7CB2">
        <w:rPr>
          <w:sz w:val="24"/>
        </w:rPr>
        <w:tab/>
      </w:r>
      <w:r w:rsidR="002F7CB2">
        <w:rPr>
          <w:sz w:val="24"/>
        </w:rPr>
        <w:tab/>
        <w:t xml:space="preserve"> </w:t>
      </w:r>
      <w:hyperlink r:id="rId11" w:history="1">
        <w:r w:rsidR="005E0643" w:rsidRPr="008B42E6">
          <w:rPr>
            <w:rStyle w:val="Hyperlink"/>
            <w:sz w:val="24"/>
          </w:rPr>
          <w:t>LegalAdvisor@WomenEnabled.org</w:t>
        </w:r>
      </w:hyperlink>
    </w:p>
    <w:p w14:paraId="47524E55" w14:textId="3FBE084F" w:rsidR="00800DC5" w:rsidRPr="004B6768" w:rsidRDefault="00800DC5" w:rsidP="00800DC5">
      <w:pPr>
        <w:tabs>
          <w:tab w:val="left" w:pos="2478"/>
        </w:tabs>
        <w:rPr>
          <w:sz w:val="24"/>
        </w:rPr>
      </w:pPr>
    </w:p>
    <w:sectPr w:rsidR="00800DC5" w:rsidRPr="004B6768" w:rsidSect="00705735">
      <w:footerReference w:type="even" r:id="rId12"/>
      <w:footerReference w:type="default" r:id="rId13"/>
      <w:headerReference w:type="first" r:id="rId14"/>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40B24" w14:textId="77777777" w:rsidR="00372B07" w:rsidRDefault="00372B07" w:rsidP="003A0FE4">
      <w:pPr>
        <w:spacing w:after="0"/>
      </w:pPr>
      <w:r>
        <w:separator/>
      </w:r>
    </w:p>
  </w:endnote>
  <w:endnote w:type="continuationSeparator" w:id="0">
    <w:p w14:paraId="63255A73" w14:textId="77777777" w:rsidR="00372B07" w:rsidRDefault="00372B07" w:rsidP="003A0F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243E" w14:textId="77777777" w:rsidR="00372B07" w:rsidRDefault="00372B07" w:rsidP="00313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FC721" w14:textId="77777777" w:rsidR="00372B07" w:rsidRDefault="00372B07" w:rsidP="003131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6208" w14:textId="77777777" w:rsidR="00372B07" w:rsidRPr="0084426E" w:rsidRDefault="00372B07" w:rsidP="0031316C">
    <w:pPr>
      <w:pStyle w:val="Footer"/>
      <w:framePr w:wrap="around" w:vAnchor="text" w:hAnchor="margin" w:xAlign="right" w:y="1"/>
      <w:rPr>
        <w:rStyle w:val="PageNumber"/>
        <w:sz w:val="24"/>
      </w:rPr>
    </w:pPr>
    <w:r w:rsidRPr="0084426E">
      <w:rPr>
        <w:rStyle w:val="PageNumber"/>
        <w:sz w:val="24"/>
      </w:rPr>
      <w:fldChar w:fldCharType="begin"/>
    </w:r>
    <w:r w:rsidRPr="0084426E">
      <w:rPr>
        <w:rStyle w:val="PageNumber"/>
        <w:sz w:val="24"/>
      </w:rPr>
      <w:instrText xml:space="preserve">PAGE  </w:instrText>
    </w:r>
    <w:r w:rsidRPr="0084426E">
      <w:rPr>
        <w:rStyle w:val="PageNumber"/>
        <w:sz w:val="24"/>
      </w:rPr>
      <w:fldChar w:fldCharType="separate"/>
    </w:r>
    <w:r w:rsidR="004248B9">
      <w:rPr>
        <w:rStyle w:val="PageNumber"/>
        <w:noProof/>
        <w:sz w:val="24"/>
      </w:rPr>
      <w:t>6</w:t>
    </w:r>
    <w:r w:rsidRPr="0084426E">
      <w:rPr>
        <w:rStyle w:val="PageNumber"/>
        <w:sz w:val="24"/>
      </w:rPr>
      <w:fldChar w:fldCharType="end"/>
    </w:r>
  </w:p>
  <w:p w14:paraId="6BC807C1" w14:textId="77777777" w:rsidR="00372B07" w:rsidRPr="0084426E" w:rsidRDefault="00372B07" w:rsidP="0031316C">
    <w:pPr>
      <w:pStyle w:val="Footer"/>
      <w:ind w:right="360"/>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299A9" w14:textId="77777777" w:rsidR="00372B07" w:rsidRDefault="00372B07" w:rsidP="003A0FE4">
      <w:pPr>
        <w:spacing w:after="0"/>
      </w:pPr>
      <w:r>
        <w:separator/>
      </w:r>
    </w:p>
  </w:footnote>
  <w:footnote w:type="continuationSeparator" w:id="0">
    <w:p w14:paraId="5F5119B5" w14:textId="77777777" w:rsidR="00372B07" w:rsidRDefault="00372B07" w:rsidP="003A0FE4">
      <w:pPr>
        <w:spacing w:after="0"/>
      </w:pPr>
      <w:r>
        <w:continuationSeparator/>
      </w:r>
    </w:p>
  </w:footnote>
  <w:footnote w:id="1">
    <w:p w14:paraId="72EA6271" w14:textId="55183BEA" w:rsidR="00372B07" w:rsidRPr="009E5591" w:rsidRDefault="00372B07" w:rsidP="00B162CE">
      <w:pPr>
        <w:pStyle w:val="FootnoteText"/>
        <w:rPr>
          <w:sz w:val="18"/>
          <w:szCs w:val="18"/>
        </w:rPr>
      </w:pPr>
      <w:r w:rsidRPr="009E5591">
        <w:rPr>
          <w:rStyle w:val="FootnoteReference"/>
          <w:sz w:val="18"/>
          <w:szCs w:val="18"/>
        </w:rPr>
        <w:footnoteRef/>
      </w:r>
      <w:r w:rsidRPr="009E5591">
        <w:rPr>
          <w:sz w:val="18"/>
          <w:szCs w:val="18"/>
        </w:rPr>
        <w:t xml:space="preserve"> World Health Organization (WHO), Factsheet No. 334: Women’s Health (Sept. 2013). </w:t>
      </w:r>
    </w:p>
  </w:footnote>
  <w:footnote w:id="2">
    <w:p w14:paraId="658B15B0" w14:textId="6D9EE3CA" w:rsidR="00372B07" w:rsidRPr="009E5591" w:rsidRDefault="00372B07" w:rsidP="00365F0D">
      <w:pPr>
        <w:pStyle w:val="FootnoteText"/>
        <w:rPr>
          <w:sz w:val="18"/>
          <w:szCs w:val="18"/>
        </w:rPr>
      </w:pPr>
      <w:r w:rsidRPr="009E5591">
        <w:rPr>
          <w:rStyle w:val="FootnoteReference"/>
          <w:sz w:val="18"/>
          <w:szCs w:val="18"/>
        </w:rPr>
        <w:footnoteRef/>
      </w:r>
      <w:r w:rsidRPr="009E5591">
        <w:rPr>
          <w:sz w:val="18"/>
          <w:szCs w:val="18"/>
        </w:rPr>
        <w:t xml:space="preserve"> WHO, Factsheet No. 348: Maternal Health (May 2014). </w:t>
      </w:r>
      <w:r w:rsidRPr="009E5591">
        <w:rPr>
          <w:i/>
          <w:sz w:val="18"/>
          <w:szCs w:val="18"/>
        </w:rPr>
        <w:t>See also</w:t>
      </w:r>
      <w:r w:rsidRPr="009E5591">
        <w:rPr>
          <w:sz w:val="18"/>
          <w:szCs w:val="18"/>
        </w:rPr>
        <w:t xml:space="preserve">, </w:t>
      </w:r>
      <w:r w:rsidRPr="009E5591">
        <w:rPr>
          <w:smallCaps/>
          <w:sz w:val="18"/>
          <w:szCs w:val="18"/>
        </w:rPr>
        <w:t>United Nations Population Fund (UNFPA) and Center for Reproductive Rights</w:t>
      </w:r>
      <w:r w:rsidRPr="009E5591">
        <w:rPr>
          <w:sz w:val="18"/>
          <w:szCs w:val="18"/>
        </w:rPr>
        <w:t xml:space="preserve">, “Maternal Mortality and Morbidity,” </w:t>
      </w:r>
      <w:r w:rsidRPr="009E5591">
        <w:rPr>
          <w:i/>
          <w:sz w:val="18"/>
          <w:szCs w:val="18"/>
        </w:rPr>
        <w:t>in</w:t>
      </w:r>
      <w:r w:rsidRPr="009E5591">
        <w:rPr>
          <w:sz w:val="18"/>
          <w:szCs w:val="18"/>
        </w:rPr>
        <w:t xml:space="preserve"> </w:t>
      </w:r>
      <w:r w:rsidRPr="009E5591">
        <w:rPr>
          <w:smallCaps/>
          <w:sz w:val="18"/>
          <w:szCs w:val="18"/>
        </w:rPr>
        <w:t>ICPD and Reproductive Rights: 20 years of advancing reproductive rights through UN treaty bodies and legal reform</w:t>
      </w:r>
      <w:r w:rsidRPr="009E5591">
        <w:rPr>
          <w:sz w:val="18"/>
          <w:szCs w:val="18"/>
        </w:rPr>
        <w:t xml:space="preserve"> 2 (2013) (“Over 70 percent of maternal deaths worldwide result from severe bleeding, high blood pressure, infection, unsafe abortion, and prolonged or obstructed labor; these causes are generally preventable if they are identified and properly managed in a timely manner.”).</w:t>
      </w:r>
    </w:p>
  </w:footnote>
  <w:footnote w:id="3">
    <w:p w14:paraId="35C9D871" w14:textId="51F0F416"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mallCaps/>
          <w:sz w:val="18"/>
          <w:szCs w:val="18"/>
        </w:rPr>
        <w:t>WHO and UNFPA</w:t>
      </w:r>
      <w:r w:rsidRPr="009E5591">
        <w:rPr>
          <w:sz w:val="18"/>
          <w:szCs w:val="18"/>
        </w:rPr>
        <w:t xml:space="preserve">, </w:t>
      </w:r>
      <w:r w:rsidRPr="009E5591">
        <w:rPr>
          <w:smallCaps/>
          <w:sz w:val="18"/>
          <w:szCs w:val="18"/>
        </w:rPr>
        <w:t>Promoting sexual and reproductive health for persons with disabilities</w:t>
      </w:r>
      <w:r w:rsidRPr="009E5591">
        <w:rPr>
          <w:sz w:val="18"/>
          <w:szCs w:val="18"/>
        </w:rPr>
        <w:t xml:space="preserve"> 6-7 (2009).</w:t>
      </w:r>
      <w:proofErr w:type="gramEnd"/>
    </w:p>
  </w:footnote>
  <w:footnote w:id="4">
    <w:p w14:paraId="24CF7373" w14:textId="1E2067EE" w:rsidR="00372B07" w:rsidRPr="009E5591" w:rsidRDefault="00372B07" w:rsidP="00B162CE">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mallCaps/>
          <w:sz w:val="18"/>
          <w:szCs w:val="18"/>
        </w:rPr>
        <w:t>WHO and UNFPA, Promoting sexual and reproductive health for persons with disabilities</w:t>
      </w:r>
      <w:r w:rsidRPr="009E5591">
        <w:rPr>
          <w:sz w:val="18"/>
          <w:szCs w:val="18"/>
        </w:rPr>
        <w:t xml:space="preserve"> 10 (2009).</w:t>
      </w:r>
      <w:proofErr w:type="gramEnd"/>
    </w:p>
  </w:footnote>
  <w:footnote w:id="5">
    <w:p w14:paraId="1974B895" w14:textId="3119B823"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International Covenant on Economic, Social and Cultural Rights, art. </w:t>
      </w:r>
      <w:proofErr w:type="gramStart"/>
      <w:r w:rsidRPr="009E5591">
        <w:rPr>
          <w:sz w:val="18"/>
          <w:szCs w:val="18"/>
        </w:rPr>
        <w:t>12, G.A. res. 2200A (XXI), 21 U.N.GAOR Supp. (No. 16) at 49, U.N. Doc.</w:t>
      </w:r>
      <w:proofErr w:type="gramEnd"/>
      <w:r w:rsidRPr="009E5591">
        <w:rPr>
          <w:sz w:val="18"/>
          <w:szCs w:val="18"/>
        </w:rPr>
        <w:t xml:space="preserve"> </w:t>
      </w:r>
      <w:proofErr w:type="gramStart"/>
      <w:r w:rsidRPr="009E5591">
        <w:rPr>
          <w:sz w:val="18"/>
          <w:szCs w:val="18"/>
        </w:rPr>
        <w:t>A/6316 (1966), 993 U.N.T.S. 3.</w:t>
      </w:r>
      <w:proofErr w:type="gramEnd"/>
    </w:p>
  </w:footnote>
  <w:footnote w:id="6">
    <w:p w14:paraId="759F4DDC" w14:textId="0EB46D79"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z w:val="18"/>
          <w:szCs w:val="18"/>
        </w:rPr>
        <w:t>Convention on the Elimination of All Forms of Discrimination against Women, art.</w:t>
      </w:r>
      <w:proofErr w:type="gramEnd"/>
      <w:r w:rsidRPr="009E5591">
        <w:rPr>
          <w:sz w:val="18"/>
          <w:szCs w:val="18"/>
        </w:rPr>
        <w:t xml:space="preserve"> </w:t>
      </w:r>
      <w:proofErr w:type="gramStart"/>
      <w:r w:rsidRPr="009E5591">
        <w:rPr>
          <w:sz w:val="18"/>
          <w:szCs w:val="18"/>
        </w:rPr>
        <w:t>12, G.A. res. 34/180, 34 U.N. GAOR Supp. (No. 46) at 193, U.N. Doc.</w:t>
      </w:r>
      <w:proofErr w:type="gramEnd"/>
      <w:r w:rsidRPr="009E5591">
        <w:rPr>
          <w:sz w:val="18"/>
          <w:szCs w:val="18"/>
        </w:rPr>
        <w:t xml:space="preserve"> A/34/46 (</w:t>
      </w:r>
      <w:r w:rsidRPr="009E5591">
        <w:rPr>
          <w:i/>
          <w:sz w:val="18"/>
          <w:szCs w:val="18"/>
        </w:rPr>
        <w:t>entered into force</w:t>
      </w:r>
      <w:r w:rsidRPr="009E5591">
        <w:rPr>
          <w:sz w:val="18"/>
          <w:szCs w:val="18"/>
        </w:rPr>
        <w:t xml:space="preserve"> Sept. 3, 1981)</w:t>
      </w:r>
    </w:p>
  </w:footnote>
  <w:footnote w:id="7">
    <w:p w14:paraId="0C79BFF3" w14:textId="41FD439D"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z w:val="18"/>
          <w:szCs w:val="18"/>
        </w:rPr>
        <w:t>Convention on the Rights of Persons with Disabilities (CRPD), art.</w:t>
      </w:r>
      <w:proofErr w:type="gramEnd"/>
      <w:r w:rsidRPr="009E5591">
        <w:rPr>
          <w:sz w:val="18"/>
          <w:szCs w:val="18"/>
        </w:rPr>
        <w:t xml:space="preserve"> </w:t>
      </w:r>
      <w:proofErr w:type="gramStart"/>
      <w:r w:rsidRPr="009E5591">
        <w:rPr>
          <w:sz w:val="18"/>
          <w:szCs w:val="18"/>
        </w:rPr>
        <w:t>28, G.A. Res. 61/106, UN GAOR 61</w:t>
      </w:r>
      <w:r w:rsidRPr="009E5591">
        <w:rPr>
          <w:sz w:val="18"/>
          <w:szCs w:val="18"/>
          <w:vertAlign w:val="superscript"/>
        </w:rPr>
        <w:t>st</w:t>
      </w:r>
      <w:r w:rsidRPr="009E5591">
        <w:rPr>
          <w:sz w:val="18"/>
          <w:szCs w:val="18"/>
        </w:rPr>
        <w:t xml:space="preserve"> Sess., U.N. Doc.</w:t>
      </w:r>
      <w:proofErr w:type="gramEnd"/>
      <w:r w:rsidRPr="009E5591">
        <w:rPr>
          <w:sz w:val="18"/>
          <w:szCs w:val="18"/>
        </w:rPr>
        <w:t xml:space="preserve"> A/RES/61/106, Annex I (</w:t>
      </w:r>
      <w:r w:rsidRPr="009E5591">
        <w:rPr>
          <w:i/>
          <w:sz w:val="18"/>
          <w:szCs w:val="18"/>
        </w:rPr>
        <w:t>entered into force</w:t>
      </w:r>
      <w:r w:rsidRPr="009E5591">
        <w:rPr>
          <w:sz w:val="18"/>
          <w:szCs w:val="18"/>
        </w:rPr>
        <w:t xml:space="preserve"> May 3, 2008)[hereinafter CRPD].</w:t>
      </w:r>
    </w:p>
  </w:footnote>
  <w:footnote w:id="8">
    <w:p w14:paraId="617B0A4D" w14:textId="4A1491A3" w:rsidR="00372B07" w:rsidRPr="009E5591" w:rsidRDefault="00372B07" w:rsidP="00895EE2">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z w:val="18"/>
          <w:szCs w:val="18"/>
        </w:rPr>
        <w:t xml:space="preserve">Committee on Economic, Social and Cultural Rights, </w:t>
      </w:r>
      <w:r w:rsidRPr="009E5591">
        <w:rPr>
          <w:i/>
          <w:sz w:val="18"/>
          <w:szCs w:val="18"/>
        </w:rPr>
        <w:t xml:space="preserve">Fact Sheet No. 16 (Rev.1) </w:t>
      </w:r>
      <w:r w:rsidRPr="009E5591">
        <w:rPr>
          <w:sz w:val="18"/>
          <w:szCs w:val="18"/>
        </w:rPr>
        <w:t>(1991).</w:t>
      </w:r>
      <w:proofErr w:type="gramEnd"/>
    </w:p>
  </w:footnote>
  <w:footnote w:id="9">
    <w:p w14:paraId="3B04DBF6" w14:textId="643CC491"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z w:val="18"/>
          <w:szCs w:val="18"/>
        </w:rPr>
        <w:t>Convention on the Rights of the Child, art.</w:t>
      </w:r>
      <w:proofErr w:type="gramEnd"/>
      <w:r w:rsidRPr="009E5591">
        <w:rPr>
          <w:sz w:val="18"/>
          <w:szCs w:val="18"/>
        </w:rPr>
        <w:t xml:space="preserve"> 6(2), G.A. Res. 44/25, annex, U.N. GAOR, 44</w:t>
      </w:r>
      <w:r w:rsidRPr="009E5591">
        <w:rPr>
          <w:sz w:val="18"/>
          <w:szCs w:val="18"/>
          <w:vertAlign w:val="superscript"/>
        </w:rPr>
        <w:t>th</w:t>
      </w:r>
      <w:r w:rsidRPr="009E5591">
        <w:rPr>
          <w:sz w:val="18"/>
          <w:szCs w:val="18"/>
        </w:rPr>
        <w:t xml:space="preserve"> Sess., Supp. No. 49, at 166, U.N. Doc. A/44/49 (1989</w:t>
      </w:r>
      <w:proofErr w:type="gramStart"/>
      <w:r w:rsidRPr="009E5591">
        <w:rPr>
          <w:sz w:val="18"/>
          <w:szCs w:val="18"/>
        </w:rPr>
        <w:t>),</w:t>
      </w:r>
      <w:proofErr w:type="gramEnd"/>
      <w:r w:rsidRPr="009E5591">
        <w:rPr>
          <w:sz w:val="18"/>
          <w:szCs w:val="18"/>
        </w:rPr>
        <w:t xml:space="preserve"> </w:t>
      </w:r>
      <w:r w:rsidRPr="009E5591">
        <w:rPr>
          <w:i/>
          <w:sz w:val="18"/>
          <w:szCs w:val="18"/>
        </w:rPr>
        <w:t>reprinted in</w:t>
      </w:r>
      <w:r w:rsidRPr="009E5591">
        <w:rPr>
          <w:sz w:val="18"/>
          <w:szCs w:val="18"/>
        </w:rPr>
        <w:t xml:space="preserve"> 28 I.L.M. 1448 (</w:t>
      </w:r>
      <w:r w:rsidRPr="009E5591">
        <w:rPr>
          <w:i/>
          <w:sz w:val="18"/>
          <w:szCs w:val="18"/>
        </w:rPr>
        <w:t>entered into force</w:t>
      </w:r>
      <w:r w:rsidRPr="009E5591">
        <w:rPr>
          <w:sz w:val="18"/>
          <w:szCs w:val="18"/>
        </w:rPr>
        <w:t xml:space="preserve"> Sept. 2, 1980). </w:t>
      </w:r>
    </w:p>
  </w:footnote>
  <w:footnote w:id="10">
    <w:p w14:paraId="57FE3F16" w14:textId="06CECBA1"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CRPD, </w:t>
      </w:r>
      <w:r w:rsidRPr="009E5591">
        <w:rPr>
          <w:i/>
          <w:sz w:val="18"/>
          <w:szCs w:val="18"/>
        </w:rPr>
        <w:t>supra</w:t>
      </w:r>
      <w:r w:rsidRPr="009E5591">
        <w:rPr>
          <w:sz w:val="18"/>
          <w:szCs w:val="18"/>
        </w:rPr>
        <w:t xml:space="preserve"> note 7, art. 10. </w:t>
      </w:r>
    </w:p>
  </w:footnote>
  <w:footnote w:id="11">
    <w:p w14:paraId="09D3F0BA" w14:textId="6A686526"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i/>
          <w:sz w:val="18"/>
          <w:szCs w:val="18"/>
        </w:rPr>
        <w:t>Id.</w:t>
      </w:r>
      <w:r w:rsidRPr="009E5591">
        <w:rPr>
          <w:sz w:val="18"/>
          <w:szCs w:val="18"/>
        </w:rPr>
        <w:t>, art.</w:t>
      </w:r>
      <w:proofErr w:type="gramEnd"/>
      <w:r w:rsidRPr="009E5591">
        <w:rPr>
          <w:sz w:val="18"/>
          <w:szCs w:val="18"/>
        </w:rPr>
        <w:t xml:space="preserve"> </w:t>
      </w:r>
      <w:proofErr w:type="gramStart"/>
      <w:r w:rsidRPr="009E5591">
        <w:rPr>
          <w:sz w:val="18"/>
          <w:szCs w:val="18"/>
        </w:rPr>
        <w:t>28(1).</w:t>
      </w:r>
      <w:proofErr w:type="gramEnd"/>
    </w:p>
  </w:footnote>
  <w:footnote w:id="12">
    <w:p w14:paraId="61B3D02F" w14:textId="220AA46E"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"Street Children" (Villagran-Morales et al.) v. Guatemala, </w:t>
      </w:r>
      <w:r w:rsidRPr="009E5591">
        <w:rPr>
          <w:rFonts w:cs="Times New Roman"/>
          <w:sz w:val="18"/>
          <w:szCs w:val="18"/>
        </w:rPr>
        <w:t xml:space="preserve">Inter-Am. Ct. H.R. (ser. C) No. 63 (Nov. 19, 1999), </w:t>
      </w:r>
      <w:r w:rsidRPr="009E5591">
        <w:rPr>
          <w:sz w:val="18"/>
          <w:szCs w:val="18"/>
        </w:rPr>
        <w:t>¶</w:t>
      </w:r>
      <w:r w:rsidRPr="009E5591">
        <w:rPr>
          <w:rFonts w:cs="Times New Roman"/>
          <w:sz w:val="18"/>
          <w:szCs w:val="18"/>
        </w:rPr>
        <w:t xml:space="preserve"> 144.</w:t>
      </w:r>
    </w:p>
  </w:footnote>
  <w:footnote w:id="13">
    <w:p w14:paraId="129B7DCC" w14:textId="0DEB7A5E"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z w:val="18"/>
          <w:szCs w:val="18"/>
        </w:rPr>
        <w:t>Case of the Xákmok Kásek Indigenous Community v. Paraguay, CIDH, Judgment of August 24, 2010, ¶ 188.</w:t>
      </w:r>
      <w:proofErr w:type="gramEnd"/>
    </w:p>
  </w:footnote>
  <w:footnote w:id="14">
    <w:p w14:paraId="321881F4" w14:textId="2EE9FE80"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r w:rsidRPr="009E5591">
        <w:rPr>
          <w:i/>
          <w:sz w:val="18"/>
          <w:szCs w:val="18"/>
        </w:rPr>
        <w:t>See, e.g.</w:t>
      </w:r>
      <w:r w:rsidRPr="009E5591">
        <w:rPr>
          <w:sz w:val="18"/>
          <w:szCs w:val="18"/>
        </w:rPr>
        <w:t xml:space="preserve">, Steven R. Keener and Javier Vasquez, </w:t>
      </w:r>
      <w:r w:rsidRPr="009E5591">
        <w:rPr>
          <w:i/>
          <w:sz w:val="18"/>
          <w:szCs w:val="18"/>
        </w:rPr>
        <w:t>A Life Worth Living: Enforcement of the Right to Health through the Right to Life in the Inter-American Court of Human Rights</w:t>
      </w:r>
      <w:r w:rsidRPr="009E5591">
        <w:rPr>
          <w:sz w:val="18"/>
          <w:szCs w:val="18"/>
        </w:rPr>
        <w:t>, 40 Colum. Hum. Rights L. Rev. 595, 607, 611-612 (2009).</w:t>
      </w:r>
    </w:p>
  </w:footnote>
  <w:footnote w:id="15">
    <w:p w14:paraId="2CE3F7DE" w14:textId="150DCF05"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Human Rights Committee (HRC), </w:t>
      </w:r>
      <w:r w:rsidRPr="009E5591">
        <w:rPr>
          <w:i/>
          <w:sz w:val="18"/>
          <w:szCs w:val="18"/>
        </w:rPr>
        <w:t>General Comment No. 28: Equality between men and women</w:t>
      </w:r>
      <w:r w:rsidRPr="009E5591">
        <w:rPr>
          <w:sz w:val="18"/>
          <w:szCs w:val="18"/>
        </w:rPr>
        <w:t>, ¶ 10 (2000).</w:t>
      </w:r>
    </w:p>
  </w:footnote>
  <w:footnote w:id="16">
    <w:p w14:paraId="50A75F14" w14:textId="06E05B76" w:rsidR="00372B07" w:rsidRPr="009E5591" w:rsidRDefault="00372B07" w:rsidP="00985967">
      <w:pPr>
        <w:pStyle w:val="FootnoteText"/>
        <w:rPr>
          <w:sz w:val="18"/>
          <w:szCs w:val="18"/>
        </w:rPr>
      </w:pPr>
      <w:r w:rsidRPr="009E5591">
        <w:rPr>
          <w:rStyle w:val="FootnoteReference"/>
          <w:sz w:val="18"/>
          <w:szCs w:val="18"/>
        </w:rPr>
        <w:footnoteRef/>
      </w:r>
      <w:r w:rsidRPr="009E5591">
        <w:rPr>
          <w:sz w:val="18"/>
          <w:szCs w:val="18"/>
        </w:rPr>
        <w:t xml:space="preserve"> Alyne da Silva Pimentel Teixeira v. Brazil, Committee on the Elimination of Discrimination against Women (CEDAW Committee), Commc’n No. 17/2008, ¶ 7.6, U.N. Doc. CEDAW/C/49/D/17/2008 (2011).</w:t>
      </w:r>
    </w:p>
  </w:footnote>
  <w:footnote w:id="17">
    <w:p w14:paraId="648B1365" w14:textId="6A77DBB3"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r w:rsidRPr="009E5591">
        <w:rPr>
          <w:i/>
          <w:sz w:val="18"/>
          <w:szCs w:val="18"/>
        </w:rPr>
        <w:t>Id</w:t>
      </w:r>
      <w:r w:rsidRPr="009E5591">
        <w:rPr>
          <w:sz w:val="18"/>
          <w:szCs w:val="18"/>
        </w:rPr>
        <w:t xml:space="preserve">. </w:t>
      </w:r>
    </w:p>
  </w:footnote>
  <w:footnote w:id="18">
    <w:p w14:paraId="4B264124" w14:textId="5947DE85"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i/>
          <w:sz w:val="18"/>
          <w:szCs w:val="18"/>
        </w:rPr>
        <w:t>Id.</w:t>
      </w:r>
      <w:r w:rsidRPr="009E5591">
        <w:rPr>
          <w:sz w:val="18"/>
          <w:szCs w:val="18"/>
        </w:rPr>
        <w:t>, ¶ 7.7.</w:t>
      </w:r>
      <w:proofErr w:type="gramEnd"/>
    </w:p>
  </w:footnote>
  <w:footnote w:id="19">
    <w:p w14:paraId="5E01C725" w14:textId="208A3F6F" w:rsidR="00372B07" w:rsidRPr="009E5591" w:rsidRDefault="00372B07" w:rsidP="006852CE">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z w:val="18"/>
          <w:szCs w:val="18"/>
        </w:rPr>
        <w:t>Case of the Xákmok Kásek Indigenous Community v. Paraguay, CIDH, Judgment of August 24, 2010, ¶ 233.</w:t>
      </w:r>
      <w:proofErr w:type="gramEnd"/>
    </w:p>
  </w:footnote>
  <w:footnote w:id="20">
    <w:p w14:paraId="776A8C2E" w14:textId="091EE5AB" w:rsidR="009E5591" w:rsidRPr="009E5591" w:rsidRDefault="009E5591">
      <w:pPr>
        <w:pStyle w:val="FootnoteText"/>
        <w:rPr>
          <w:sz w:val="18"/>
          <w:szCs w:val="18"/>
        </w:rPr>
      </w:pPr>
      <w:r w:rsidRPr="009E5591">
        <w:rPr>
          <w:rStyle w:val="FootnoteReference"/>
          <w:sz w:val="18"/>
          <w:szCs w:val="18"/>
        </w:rPr>
        <w:footnoteRef/>
      </w:r>
      <w:r w:rsidRPr="009E5591">
        <w:rPr>
          <w:sz w:val="18"/>
          <w:szCs w:val="18"/>
        </w:rPr>
        <w:t xml:space="preserve"> </w:t>
      </w:r>
      <w:r w:rsidRPr="009E5591">
        <w:rPr>
          <w:i/>
          <w:sz w:val="18"/>
          <w:szCs w:val="18"/>
        </w:rPr>
        <w:t>See, e.g.</w:t>
      </w:r>
      <w:r w:rsidRPr="009E5591">
        <w:rPr>
          <w:sz w:val="18"/>
          <w:szCs w:val="18"/>
        </w:rPr>
        <w:t xml:space="preserve">, </w:t>
      </w:r>
      <w:r w:rsidRPr="009E5591">
        <w:rPr>
          <w:smallCaps/>
          <w:sz w:val="18"/>
          <w:szCs w:val="18"/>
        </w:rPr>
        <w:t>Center for Reproductive Rights, “</w:t>
      </w:r>
      <w:r w:rsidRPr="009E5591">
        <w:rPr>
          <w:sz w:val="18"/>
          <w:szCs w:val="18"/>
        </w:rPr>
        <w:t xml:space="preserve">Striking a Balance: Women’s Rights and an Interest in Prenatal Life,” </w:t>
      </w:r>
      <w:r w:rsidRPr="009E5591">
        <w:rPr>
          <w:i/>
          <w:sz w:val="18"/>
          <w:szCs w:val="18"/>
        </w:rPr>
        <w:t>in</w:t>
      </w:r>
      <w:r w:rsidRPr="009E5591">
        <w:rPr>
          <w:smallCaps/>
          <w:sz w:val="18"/>
          <w:szCs w:val="18"/>
        </w:rPr>
        <w:t xml:space="preserve"> Whose Right to Life</w:t>
      </w:r>
      <w:proofErr w:type="gramStart"/>
      <w:r w:rsidRPr="009E5591">
        <w:rPr>
          <w:smallCaps/>
          <w:sz w:val="18"/>
          <w:szCs w:val="18"/>
        </w:rPr>
        <w:t>?:</w:t>
      </w:r>
      <w:proofErr w:type="gramEnd"/>
      <w:r w:rsidRPr="009E5591">
        <w:rPr>
          <w:smallCaps/>
          <w:sz w:val="18"/>
          <w:szCs w:val="18"/>
        </w:rPr>
        <w:t xml:space="preserve"> Women’s Rights and Prenatal Protections under International and Comparative Law (2012) (</w:t>
      </w:r>
      <w:r w:rsidRPr="009E5591">
        <w:rPr>
          <w:sz w:val="18"/>
          <w:szCs w:val="18"/>
        </w:rPr>
        <w:t xml:space="preserve">identifying specific </w:t>
      </w:r>
      <w:r w:rsidR="004248B9">
        <w:rPr>
          <w:sz w:val="18"/>
          <w:szCs w:val="18"/>
        </w:rPr>
        <w:t>actions</w:t>
      </w:r>
      <w:r w:rsidRPr="009E5591">
        <w:rPr>
          <w:sz w:val="18"/>
          <w:szCs w:val="18"/>
        </w:rPr>
        <w:t xml:space="preserve"> States may take to safeguard women’s fundamental rights while promoting prenatal, infant and child survival). </w:t>
      </w:r>
    </w:p>
  </w:footnote>
  <w:footnote w:id="21">
    <w:p w14:paraId="121A2A82" w14:textId="4062323D"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I</w:t>
      </w:r>
      <w:r w:rsidRPr="009E5591">
        <w:rPr>
          <w:smallCaps/>
          <w:sz w:val="18"/>
          <w:szCs w:val="18"/>
        </w:rPr>
        <w:t>r</w:t>
      </w:r>
      <w:r w:rsidRPr="009E5591">
        <w:rPr>
          <w:sz w:val="18"/>
          <w:szCs w:val="18"/>
        </w:rPr>
        <w:t xml:space="preserve">. </w:t>
      </w:r>
      <w:proofErr w:type="gramStart"/>
      <w:r w:rsidRPr="009E5591">
        <w:rPr>
          <w:smallCaps/>
          <w:sz w:val="18"/>
          <w:szCs w:val="18"/>
        </w:rPr>
        <w:t>Const.,</w:t>
      </w:r>
      <w:r w:rsidRPr="009E5591">
        <w:rPr>
          <w:sz w:val="18"/>
          <w:szCs w:val="18"/>
        </w:rPr>
        <w:t xml:space="preserve"> 1937, art.</w:t>
      </w:r>
      <w:proofErr w:type="gramEnd"/>
      <w:r w:rsidRPr="009E5591">
        <w:rPr>
          <w:sz w:val="18"/>
          <w:szCs w:val="18"/>
        </w:rPr>
        <w:t xml:space="preserve"> 40.3.3.</w:t>
      </w:r>
    </w:p>
  </w:footnote>
  <w:footnote w:id="22">
    <w:p w14:paraId="432AFAA8" w14:textId="0F837AFC"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Henry McDonald, </w:t>
      </w:r>
      <w:r w:rsidRPr="009E5591">
        <w:rPr>
          <w:i/>
          <w:sz w:val="18"/>
          <w:szCs w:val="18"/>
        </w:rPr>
        <w:t>Abortion refusal death: Hindu woman told ‘Ireland is a Catholic country</w:t>
      </w:r>
      <w:r w:rsidRPr="009E5591">
        <w:rPr>
          <w:sz w:val="18"/>
          <w:szCs w:val="18"/>
        </w:rPr>
        <w:t>,</w:t>
      </w:r>
      <w:r w:rsidRPr="009E5591">
        <w:rPr>
          <w:i/>
          <w:sz w:val="18"/>
          <w:szCs w:val="18"/>
        </w:rPr>
        <w:t>’</w:t>
      </w:r>
      <w:r w:rsidRPr="009E5591">
        <w:rPr>
          <w:sz w:val="18"/>
          <w:szCs w:val="18"/>
        </w:rPr>
        <w:t xml:space="preserve"> </w:t>
      </w:r>
      <w:r w:rsidRPr="009E5591">
        <w:rPr>
          <w:smallCaps/>
          <w:sz w:val="18"/>
          <w:szCs w:val="18"/>
        </w:rPr>
        <w:t>The Guardian</w:t>
      </w:r>
      <w:r w:rsidRPr="009E5591">
        <w:rPr>
          <w:sz w:val="18"/>
          <w:szCs w:val="18"/>
        </w:rPr>
        <w:t xml:space="preserve"> (April 8, 2013).</w:t>
      </w:r>
    </w:p>
  </w:footnote>
  <w:footnote w:id="23">
    <w:p w14:paraId="6925C585" w14:textId="7941EB8D"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HRC, </w:t>
      </w:r>
      <w:r w:rsidRPr="009E5591">
        <w:rPr>
          <w:i/>
          <w:sz w:val="18"/>
          <w:szCs w:val="18"/>
        </w:rPr>
        <w:t>Concluding Observations: Ireland</w:t>
      </w:r>
      <w:r w:rsidRPr="009E5591">
        <w:rPr>
          <w:sz w:val="18"/>
          <w:szCs w:val="18"/>
        </w:rPr>
        <w:t>, ¶ 9, U.N. Doc. CCPR/C/IRL/CO/4 (Aug. 19, 2014).</w:t>
      </w:r>
    </w:p>
  </w:footnote>
  <w:footnote w:id="24">
    <w:p w14:paraId="03E2A9BE" w14:textId="28EC39D3"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z w:val="18"/>
          <w:szCs w:val="18"/>
        </w:rPr>
        <w:t xml:space="preserve">Tracy Wilkinson, </w:t>
      </w:r>
      <w:r w:rsidRPr="009E5591">
        <w:rPr>
          <w:i/>
          <w:sz w:val="18"/>
          <w:szCs w:val="18"/>
        </w:rPr>
        <w:t>El Salvador Jails Women for Miscarriages and Stillbirths</w:t>
      </w:r>
      <w:r w:rsidRPr="009E5591">
        <w:rPr>
          <w:sz w:val="18"/>
          <w:szCs w:val="18"/>
        </w:rPr>
        <w:t xml:space="preserve">, </w:t>
      </w:r>
      <w:r w:rsidRPr="009E5591">
        <w:rPr>
          <w:smallCaps/>
          <w:sz w:val="18"/>
          <w:szCs w:val="18"/>
        </w:rPr>
        <w:t xml:space="preserve">L.A. Times </w:t>
      </w:r>
      <w:r w:rsidRPr="009E5591">
        <w:rPr>
          <w:sz w:val="18"/>
          <w:szCs w:val="18"/>
        </w:rPr>
        <w:t>(April 15, 2015).</w:t>
      </w:r>
      <w:proofErr w:type="gramEnd"/>
      <w:r w:rsidRPr="009E5591">
        <w:rPr>
          <w:sz w:val="18"/>
          <w:szCs w:val="18"/>
        </w:rPr>
        <w:t xml:space="preserve"> </w:t>
      </w:r>
    </w:p>
  </w:footnote>
  <w:footnote w:id="25">
    <w:p w14:paraId="4E62B5F3" w14:textId="541A410C"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r w:rsidRPr="009E5591">
        <w:rPr>
          <w:smallCaps/>
          <w:sz w:val="18"/>
          <w:szCs w:val="18"/>
        </w:rPr>
        <w:t xml:space="preserve">Const. de la República de El Salvador, </w:t>
      </w:r>
      <w:r w:rsidRPr="009E5591">
        <w:rPr>
          <w:sz w:val="18"/>
          <w:szCs w:val="18"/>
        </w:rPr>
        <w:t xml:space="preserve">art. </w:t>
      </w:r>
      <w:proofErr w:type="gramStart"/>
      <w:r w:rsidRPr="009E5591">
        <w:rPr>
          <w:sz w:val="18"/>
          <w:szCs w:val="18"/>
        </w:rPr>
        <w:t>1 (1983).</w:t>
      </w:r>
      <w:proofErr w:type="gramEnd"/>
      <w:r w:rsidRPr="009E5591">
        <w:rPr>
          <w:sz w:val="18"/>
          <w:szCs w:val="18"/>
        </w:rPr>
        <w:t xml:space="preserve"> </w:t>
      </w:r>
    </w:p>
  </w:footnote>
  <w:footnote w:id="26">
    <w:p w14:paraId="2993A56B" w14:textId="675D86C5"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r w:rsidRPr="009E5591">
        <w:rPr>
          <w:i/>
          <w:sz w:val="18"/>
          <w:szCs w:val="18"/>
        </w:rPr>
        <w:t>See</w:t>
      </w:r>
      <w:r w:rsidRPr="009E5591">
        <w:rPr>
          <w:sz w:val="18"/>
          <w:szCs w:val="18"/>
        </w:rPr>
        <w:t xml:space="preserve">, Center for Reproductive Rights, 12 Countries Call on El Salvador to Decriminalize Abortion (Nov. 10, 2014), </w:t>
      </w:r>
      <w:hyperlink r:id="rId1" w:history="1">
        <w:r w:rsidRPr="009E5591">
          <w:rPr>
            <w:rStyle w:val="Hyperlink"/>
            <w:sz w:val="18"/>
            <w:szCs w:val="18"/>
          </w:rPr>
          <w:t>http://www.reproductiverights.org/press-room/12-countries-call-on-el-salvador-to-decriminalize-abortion</w:t>
        </w:r>
      </w:hyperlink>
      <w:r w:rsidRPr="009E5591">
        <w:rPr>
          <w:sz w:val="18"/>
          <w:szCs w:val="18"/>
        </w:rPr>
        <w:t>.</w:t>
      </w:r>
    </w:p>
  </w:footnote>
  <w:footnote w:id="27">
    <w:p w14:paraId="20435D79" w14:textId="7BE2A019" w:rsidR="00372B07" w:rsidRPr="009E5591" w:rsidRDefault="00372B07" w:rsidP="008D0EC7">
      <w:pPr>
        <w:pStyle w:val="FootnoteText"/>
        <w:rPr>
          <w:sz w:val="18"/>
          <w:szCs w:val="18"/>
        </w:rPr>
      </w:pPr>
      <w:r w:rsidRPr="009E5591">
        <w:rPr>
          <w:rStyle w:val="FootnoteReference"/>
          <w:sz w:val="18"/>
          <w:szCs w:val="18"/>
        </w:rPr>
        <w:footnoteRef/>
      </w:r>
      <w:r w:rsidRPr="009E5591">
        <w:rPr>
          <w:sz w:val="18"/>
          <w:szCs w:val="18"/>
        </w:rPr>
        <w:t xml:space="preserve"> </w:t>
      </w:r>
      <w:r w:rsidRPr="009E5591">
        <w:rPr>
          <w:sz w:val="18"/>
          <w:szCs w:val="18"/>
          <w:lang w:val="es-NI" w:eastAsia="en-US"/>
        </w:rPr>
        <w:t xml:space="preserve">Murillo y Otros (“Fecundación In Vitro”) v. Costa Rica, Inter-Am. </w:t>
      </w:r>
      <w:proofErr w:type="gramStart"/>
      <w:r w:rsidRPr="009E5591">
        <w:rPr>
          <w:sz w:val="18"/>
          <w:szCs w:val="18"/>
          <w:lang w:eastAsia="en-US"/>
        </w:rPr>
        <w:t xml:space="preserve">Ct. H.R. (ser. C) No. 257, </w:t>
      </w:r>
      <w:r w:rsidRPr="009E5591">
        <w:rPr>
          <w:sz w:val="18"/>
          <w:szCs w:val="18"/>
        </w:rPr>
        <w:t xml:space="preserve">¶¶ </w:t>
      </w:r>
      <w:r w:rsidRPr="009E5591">
        <w:rPr>
          <w:sz w:val="18"/>
          <w:szCs w:val="18"/>
          <w:lang w:eastAsia="en-US"/>
        </w:rPr>
        <w:t>72-74 (Nov. 28, 2012).</w:t>
      </w:r>
      <w:proofErr w:type="gramEnd"/>
    </w:p>
  </w:footnote>
  <w:footnote w:id="28">
    <w:p w14:paraId="4CB98F79" w14:textId="6FAE8B29"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r w:rsidRPr="009E5591">
        <w:rPr>
          <w:i/>
          <w:sz w:val="18"/>
          <w:szCs w:val="18"/>
          <w:lang w:val="es-NI" w:eastAsia="en-US"/>
        </w:rPr>
        <w:t>Id.</w:t>
      </w:r>
      <w:r w:rsidRPr="009E5591">
        <w:rPr>
          <w:sz w:val="18"/>
          <w:szCs w:val="18"/>
          <w:lang w:eastAsia="en-US"/>
        </w:rPr>
        <w:t xml:space="preserve">, </w:t>
      </w:r>
      <w:proofErr w:type="gramStart"/>
      <w:r w:rsidRPr="009E5591">
        <w:rPr>
          <w:sz w:val="18"/>
          <w:szCs w:val="18"/>
        </w:rPr>
        <w:t xml:space="preserve">¶¶ </w:t>
      </w:r>
      <w:r w:rsidRPr="009E5591">
        <w:rPr>
          <w:sz w:val="18"/>
          <w:szCs w:val="18"/>
          <w:lang w:eastAsia="en-US"/>
        </w:rPr>
        <w:t>288-302, 317.</w:t>
      </w:r>
      <w:proofErr w:type="gramEnd"/>
    </w:p>
  </w:footnote>
  <w:footnote w:id="29">
    <w:p w14:paraId="536E8E6D" w14:textId="18790802" w:rsidR="00372B07" w:rsidRPr="009E5591" w:rsidRDefault="00372B07" w:rsidP="00004063">
      <w:pPr>
        <w:pStyle w:val="FootnoteText"/>
        <w:rPr>
          <w:sz w:val="18"/>
          <w:szCs w:val="18"/>
        </w:rPr>
      </w:pPr>
      <w:r w:rsidRPr="009E5591">
        <w:rPr>
          <w:rStyle w:val="FootnoteReference"/>
          <w:sz w:val="18"/>
          <w:szCs w:val="18"/>
        </w:rPr>
        <w:footnoteRef/>
      </w:r>
      <w:r w:rsidRPr="009E5591">
        <w:rPr>
          <w:sz w:val="18"/>
          <w:szCs w:val="18"/>
        </w:rPr>
        <w:t xml:space="preserve"> </w:t>
      </w:r>
      <w:proofErr w:type="gramStart"/>
      <w:r w:rsidRPr="009E5591">
        <w:rPr>
          <w:sz w:val="18"/>
          <w:szCs w:val="18"/>
        </w:rPr>
        <w:t>U.N. GAOR Annex, 12</w:t>
      </w:r>
      <w:r w:rsidRPr="009E5591">
        <w:rPr>
          <w:sz w:val="18"/>
          <w:szCs w:val="18"/>
          <w:vertAlign w:val="superscript"/>
        </w:rPr>
        <w:t>th</w:t>
      </w:r>
      <w:r w:rsidRPr="009E5591">
        <w:rPr>
          <w:sz w:val="18"/>
          <w:szCs w:val="18"/>
        </w:rPr>
        <w:t xml:space="preserve"> Session, Agenda Item 33, ¶¶ 96, 113, 119, U.N. Doc.</w:t>
      </w:r>
      <w:proofErr w:type="gramEnd"/>
      <w:r w:rsidRPr="009E5591">
        <w:rPr>
          <w:sz w:val="18"/>
          <w:szCs w:val="18"/>
        </w:rPr>
        <w:t xml:space="preserve"> A/C.3/L.654. </w:t>
      </w:r>
    </w:p>
  </w:footnote>
  <w:footnote w:id="30">
    <w:p w14:paraId="1714596B" w14:textId="3EF912AE"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L.C. v. Peru, CEDAW Committee, Commc’n No. 22/2009, ¶ 8.15, U.N. Doc. CEDAW/C/50/D/22/2009 (2011); </w:t>
      </w:r>
    </w:p>
  </w:footnote>
  <w:footnote w:id="31">
    <w:p w14:paraId="0D104364" w14:textId="688E159D"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r w:rsidRPr="009E5591">
        <w:rPr>
          <w:i/>
          <w:sz w:val="18"/>
          <w:szCs w:val="18"/>
        </w:rPr>
        <w:t>See</w:t>
      </w:r>
      <w:r w:rsidRPr="009E5591">
        <w:rPr>
          <w:sz w:val="18"/>
          <w:szCs w:val="18"/>
        </w:rPr>
        <w:t xml:space="preserve">, </w:t>
      </w:r>
      <w:r w:rsidRPr="009E5591">
        <w:rPr>
          <w:i/>
          <w:sz w:val="18"/>
          <w:szCs w:val="18"/>
        </w:rPr>
        <w:t>e.g.</w:t>
      </w:r>
      <w:r w:rsidRPr="009E5591">
        <w:rPr>
          <w:sz w:val="18"/>
          <w:szCs w:val="18"/>
        </w:rPr>
        <w:t xml:space="preserve">, K.L. v. Peru, HRC, Commc’n No. 1153/2003, U.N. Doc. CCPR/C/85/d/1153/2003 (2005); L.M.R. v. Argentina, HRC, Commc’n No. 1608/2007, U.N. Doc. CCPR/C/101/D/1608/2007 (2011); HRC, </w:t>
      </w:r>
      <w:r w:rsidRPr="009E5591">
        <w:rPr>
          <w:i/>
          <w:sz w:val="18"/>
          <w:szCs w:val="18"/>
        </w:rPr>
        <w:t>Concluding Observations</w:t>
      </w:r>
      <w:r w:rsidRPr="009E5591">
        <w:rPr>
          <w:sz w:val="18"/>
          <w:szCs w:val="18"/>
        </w:rPr>
        <w:t xml:space="preserve"> to: </w:t>
      </w:r>
      <w:r w:rsidRPr="009E5591">
        <w:rPr>
          <w:i/>
          <w:sz w:val="18"/>
          <w:szCs w:val="18"/>
        </w:rPr>
        <w:t>Argentina</w:t>
      </w:r>
      <w:r w:rsidRPr="009E5591">
        <w:rPr>
          <w:sz w:val="18"/>
          <w:szCs w:val="18"/>
        </w:rPr>
        <w:t xml:space="preserve">, ¶ 14, U.N. Doc. CCPR/CO/70/ARG (2000); </w:t>
      </w:r>
      <w:r w:rsidRPr="009E5591">
        <w:rPr>
          <w:i/>
          <w:sz w:val="18"/>
          <w:szCs w:val="18"/>
        </w:rPr>
        <w:t>Bolivia</w:t>
      </w:r>
      <w:r w:rsidRPr="009E5591">
        <w:rPr>
          <w:sz w:val="18"/>
          <w:szCs w:val="18"/>
        </w:rPr>
        <w:t xml:space="preserve">, ¶ 22, U.N. Doc. CCPR/C/79/Add.74 (1997); </w:t>
      </w:r>
      <w:r w:rsidRPr="009E5591">
        <w:rPr>
          <w:i/>
          <w:sz w:val="18"/>
          <w:szCs w:val="18"/>
        </w:rPr>
        <w:t>Chile</w:t>
      </w:r>
      <w:r w:rsidRPr="009E5591">
        <w:rPr>
          <w:sz w:val="18"/>
          <w:szCs w:val="18"/>
        </w:rPr>
        <w:t xml:space="preserve">, ¶ 211, U.N. Doc. A/54/40 (1999); </w:t>
      </w:r>
      <w:r w:rsidRPr="009E5591">
        <w:rPr>
          <w:i/>
          <w:sz w:val="18"/>
          <w:szCs w:val="18"/>
        </w:rPr>
        <w:t>Costa Rica</w:t>
      </w:r>
      <w:r w:rsidRPr="009E5591">
        <w:rPr>
          <w:sz w:val="18"/>
          <w:szCs w:val="18"/>
        </w:rPr>
        <w:t xml:space="preserve">, ¶ 11, U.N. Doc. CCPR/C/79/Add.107 (1999); </w:t>
      </w:r>
      <w:r w:rsidRPr="009E5591">
        <w:rPr>
          <w:i/>
          <w:sz w:val="18"/>
          <w:szCs w:val="18"/>
        </w:rPr>
        <w:t>El Salvador</w:t>
      </w:r>
      <w:r w:rsidRPr="009E5591">
        <w:rPr>
          <w:sz w:val="18"/>
          <w:szCs w:val="18"/>
        </w:rPr>
        <w:t xml:space="preserve">, ¶ 14, U.N. Doc. CCPR/CO/78/SLV (2004); </w:t>
      </w:r>
      <w:r w:rsidRPr="009E5591">
        <w:rPr>
          <w:i/>
          <w:sz w:val="18"/>
          <w:szCs w:val="18"/>
        </w:rPr>
        <w:t>Ecuador</w:t>
      </w:r>
      <w:r w:rsidRPr="009E5591">
        <w:rPr>
          <w:sz w:val="18"/>
          <w:szCs w:val="18"/>
        </w:rPr>
        <w:t xml:space="preserve">, ¶ 11, U.N. Doc. CCPR/C/79/Add.92 (1998); </w:t>
      </w:r>
      <w:r w:rsidRPr="009E5591">
        <w:rPr>
          <w:i/>
          <w:sz w:val="18"/>
          <w:szCs w:val="18"/>
        </w:rPr>
        <w:t>Gambia</w:t>
      </w:r>
      <w:r w:rsidRPr="009E5591">
        <w:rPr>
          <w:sz w:val="18"/>
          <w:szCs w:val="18"/>
        </w:rPr>
        <w:t xml:space="preserve">, ¶ 17, U.N. Doc. CCPR/CO/75/GMB (2004); </w:t>
      </w:r>
      <w:r w:rsidRPr="009E5591">
        <w:rPr>
          <w:i/>
          <w:sz w:val="18"/>
          <w:szCs w:val="18"/>
        </w:rPr>
        <w:t>Guatemala</w:t>
      </w:r>
      <w:r w:rsidRPr="009E5591">
        <w:rPr>
          <w:sz w:val="18"/>
          <w:szCs w:val="18"/>
        </w:rPr>
        <w:t xml:space="preserve">, ¶ 19, U.N. Doc. CCPR/CO/72/GTM (2001); </w:t>
      </w:r>
      <w:r w:rsidRPr="009E5591">
        <w:rPr>
          <w:i/>
          <w:sz w:val="18"/>
          <w:szCs w:val="18"/>
        </w:rPr>
        <w:t>Honduras</w:t>
      </w:r>
      <w:r w:rsidRPr="009E5591">
        <w:rPr>
          <w:sz w:val="18"/>
          <w:szCs w:val="18"/>
        </w:rPr>
        <w:t xml:space="preserve">, ¶ 8, U.N. Doc. CCPR/C/HND/CO/1 (2006), </w:t>
      </w:r>
      <w:r w:rsidRPr="009E5591">
        <w:rPr>
          <w:i/>
          <w:sz w:val="18"/>
          <w:szCs w:val="18"/>
        </w:rPr>
        <w:t>Kenya</w:t>
      </w:r>
      <w:r w:rsidRPr="009E5591">
        <w:rPr>
          <w:sz w:val="18"/>
          <w:szCs w:val="18"/>
        </w:rPr>
        <w:t xml:space="preserve">, ¶ 14, U.N. Doc. CCPR/CO/83/KEN (2005); </w:t>
      </w:r>
      <w:r w:rsidRPr="009E5591">
        <w:rPr>
          <w:i/>
          <w:sz w:val="18"/>
          <w:szCs w:val="18"/>
        </w:rPr>
        <w:t>Kuwait</w:t>
      </w:r>
      <w:r w:rsidRPr="009E5591">
        <w:rPr>
          <w:sz w:val="18"/>
          <w:szCs w:val="18"/>
        </w:rPr>
        <w:t xml:space="preserve">, ¶¶ 466, 467, U.N. Doc. A/55/40 (2000); </w:t>
      </w:r>
      <w:r w:rsidRPr="009E5591">
        <w:rPr>
          <w:i/>
          <w:sz w:val="18"/>
          <w:szCs w:val="18"/>
        </w:rPr>
        <w:t>Lesotho</w:t>
      </w:r>
      <w:r w:rsidRPr="009E5591">
        <w:rPr>
          <w:sz w:val="18"/>
          <w:szCs w:val="18"/>
        </w:rPr>
        <w:t xml:space="preserve">, ¶ 11, U.N. Doc. CCPR/C/79/Add.106 (1999). </w:t>
      </w:r>
    </w:p>
  </w:footnote>
  <w:footnote w:id="32">
    <w:p w14:paraId="2F9415F1" w14:textId="6709D3EF"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r w:rsidRPr="009E5591">
        <w:rPr>
          <w:i/>
          <w:sz w:val="18"/>
          <w:szCs w:val="18"/>
        </w:rPr>
        <w:t>See, e.g.</w:t>
      </w:r>
      <w:r w:rsidRPr="009E5591">
        <w:rPr>
          <w:sz w:val="18"/>
          <w:szCs w:val="18"/>
        </w:rPr>
        <w:t xml:space="preserve">, Committee on the Rights of the Child (CRC Committee), </w:t>
      </w:r>
      <w:r w:rsidRPr="009E5591">
        <w:rPr>
          <w:i/>
          <w:sz w:val="18"/>
          <w:szCs w:val="18"/>
        </w:rPr>
        <w:t>General Comment No. 4: Adolescent Health and Development in the Context of the Convention on the Rights of the Child</w:t>
      </w:r>
      <w:r w:rsidRPr="009E5591">
        <w:rPr>
          <w:sz w:val="18"/>
          <w:szCs w:val="18"/>
        </w:rPr>
        <w:t xml:space="preserve"> (33</w:t>
      </w:r>
      <w:r w:rsidRPr="009E5591">
        <w:rPr>
          <w:sz w:val="18"/>
          <w:szCs w:val="18"/>
          <w:vertAlign w:val="superscript"/>
        </w:rPr>
        <w:t>rd</w:t>
      </w:r>
      <w:r w:rsidRPr="009E5591">
        <w:rPr>
          <w:sz w:val="18"/>
          <w:szCs w:val="18"/>
        </w:rPr>
        <w:t xml:space="preserve"> Sess., 2003), ¶ 31, U.N. Doc. CRC/GC/2003/4 (2003); CRC Committee, </w:t>
      </w:r>
      <w:r w:rsidRPr="009E5591">
        <w:rPr>
          <w:i/>
          <w:sz w:val="18"/>
          <w:szCs w:val="18"/>
        </w:rPr>
        <w:t xml:space="preserve">Concluding Observations </w:t>
      </w:r>
      <w:r w:rsidRPr="009E5591">
        <w:rPr>
          <w:sz w:val="18"/>
          <w:szCs w:val="18"/>
        </w:rPr>
        <w:t xml:space="preserve">to: </w:t>
      </w:r>
      <w:r w:rsidRPr="009E5591">
        <w:rPr>
          <w:i/>
          <w:sz w:val="18"/>
          <w:szCs w:val="18"/>
        </w:rPr>
        <w:t>Chad</w:t>
      </w:r>
      <w:r w:rsidRPr="009E5591">
        <w:rPr>
          <w:sz w:val="18"/>
          <w:szCs w:val="18"/>
        </w:rPr>
        <w:t xml:space="preserve">, ¶ 30, U.N. Doc. CRC/C/15/Add.107 (1999); </w:t>
      </w:r>
      <w:r w:rsidRPr="009E5591">
        <w:rPr>
          <w:i/>
          <w:sz w:val="18"/>
          <w:szCs w:val="18"/>
        </w:rPr>
        <w:t>Chile</w:t>
      </w:r>
      <w:r w:rsidRPr="009E5591">
        <w:rPr>
          <w:sz w:val="18"/>
          <w:szCs w:val="18"/>
        </w:rPr>
        <w:t xml:space="preserve">, ¶ 55, U.N. Doc. CRC/C/CHL/CO/3 (2007); </w:t>
      </w:r>
      <w:r w:rsidRPr="009E5591">
        <w:rPr>
          <w:i/>
          <w:sz w:val="18"/>
          <w:szCs w:val="18"/>
        </w:rPr>
        <w:t>Palau</w:t>
      </w:r>
      <w:r w:rsidRPr="009E5591">
        <w:rPr>
          <w:sz w:val="18"/>
          <w:szCs w:val="18"/>
        </w:rPr>
        <w:t xml:space="preserve">, ¶ 46, U.N. Doc. CRC/C/15/Add.149 (2001); </w:t>
      </w:r>
      <w:r w:rsidRPr="009E5591">
        <w:rPr>
          <w:i/>
          <w:sz w:val="18"/>
          <w:szCs w:val="18"/>
        </w:rPr>
        <w:t>Uruguay</w:t>
      </w:r>
      <w:r w:rsidRPr="009E5591">
        <w:rPr>
          <w:sz w:val="18"/>
          <w:szCs w:val="18"/>
        </w:rPr>
        <w:t xml:space="preserve">, ¶ 51, U.N. Doc. CRC/C/URY/CO/2 (2007); CEDAW Committee, </w:t>
      </w:r>
      <w:r w:rsidRPr="009E5591">
        <w:rPr>
          <w:i/>
          <w:sz w:val="18"/>
          <w:szCs w:val="18"/>
        </w:rPr>
        <w:t>General Recommendation No. 24: Article 12 of the Convention (women and health)</w:t>
      </w:r>
      <w:r w:rsidRPr="009E5591">
        <w:rPr>
          <w:sz w:val="18"/>
          <w:szCs w:val="18"/>
        </w:rPr>
        <w:t xml:space="preserve">, </w:t>
      </w:r>
      <w:r w:rsidRPr="009E5591">
        <w:rPr>
          <w:i/>
          <w:sz w:val="18"/>
          <w:szCs w:val="18"/>
        </w:rPr>
        <w:t>in</w:t>
      </w:r>
      <w:r w:rsidRPr="009E5591">
        <w:rPr>
          <w:sz w:val="18"/>
          <w:szCs w:val="18"/>
        </w:rPr>
        <w:t xml:space="preserve"> Compilation of General Comments and General Recommendations Adopted by Human Rights Treaty Bodies, ¶ 11, U.N. Doc. HRI/GEN/1/Rev.9 (Vol. II) (2008); CEDAW Committee, </w:t>
      </w:r>
      <w:r w:rsidRPr="009E5591">
        <w:rPr>
          <w:i/>
          <w:sz w:val="18"/>
          <w:szCs w:val="18"/>
        </w:rPr>
        <w:t>Concluding Observations</w:t>
      </w:r>
      <w:r w:rsidRPr="009E5591">
        <w:rPr>
          <w:sz w:val="18"/>
          <w:szCs w:val="18"/>
        </w:rPr>
        <w:t xml:space="preserve"> to: </w:t>
      </w:r>
      <w:r w:rsidRPr="009E5591">
        <w:rPr>
          <w:i/>
          <w:sz w:val="18"/>
          <w:szCs w:val="18"/>
        </w:rPr>
        <w:t>Belize</w:t>
      </w:r>
      <w:r w:rsidRPr="009E5591">
        <w:rPr>
          <w:sz w:val="18"/>
          <w:szCs w:val="18"/>
        </w:rPr>
        <w:t xml:space="preserve">, ¶ 56, U.N. Doc. A/54/38/Rev.1 (1999); </w:t>
      </w:r>
      <w:r w:rsidRPr="009E5591">
        <w:rPr>
          <w:i/>
          <w:sz w:val="18"/>
          <w:szCs w:val="18"/>
        </w:rPr>
        <w:t>Chile</w:t>
      </w:r>
      <w:r w:rsidRPr="009E5591">
        <w:rPr>
          <w:sz w:val="18"/>
          <w:szCs w:val="18"/>
        </w:rPr>
        <w:t xml:space="preserve">, ¶ 228, U.N. Doc. </w:t>
      </w:r>
      <w:proofErr w:type="gramStart"/>
      <w:r w:rsidRPr="009E5591">
        <w:rPr>
          <w:sz w:val="18"/>
          <w:szCs w:val="18"/>
        </w:rPr>
        <w:t xml:space="preserve">A/54/38/Rev. 1 (1999); </w:t>
      </w:r>
      <w:r w:rsidRPr="009E5591">
        <w:rPr>
          <w:i/>
          <w:sz w:val="18"/>
          <w:szCs w:val="18"/>
        </w:rPr>
        <w:t>Colombia</w:t>
      </w:r>
      <w:r w:rsidRPr="009E5591">
        <w:rPr>
          <w:sz w:val="18"/>
          <w:szCs w:val="18"/>
        </w:rPr>
        <w:t>, ¶ 393, U.N. Doc.</w:t>
      </w:r>
      <w:proofErr w:type="gramEnd"/>
      <w:r w:rsidRPr="009E5591">
        <w:rPr>
          <w:sz w:val="18"/>
          <w:szCs w:val="18"/>
        </w:rPr>
        <w:t xml:space="preserve"> A/54/38/Rev.1 (1999); </w:t>
      </w:r>
      <w:r w:rsidRPr="009E5591">
        <w:rPr>
          <w:i/>
          <w:sz w:val="18"/>
          <w:szCs w:val="18"/>
        </w:rPr>
        <w:t>Dominican Republic</w:t>
      </w:r>
      <w:r w:rsidRPr="009E5591">
        <w:rPr>
          <w:sz w:val="18"/>
          <w:szCs w:val="18"/>
        </w:rPr>
        <w:t xml:space="preserve">, ¶ 337, U.N. Doc. A/53/38/Rev.1 (1998); </w:t>
      </w:r>
      <w:r w:rsidRPr="009E5591">
        <w:rPr>
          <w:i/>
          <w:sz w:val="18"/>
          <w:szCs w:val="18"/>
        </w:rPr>
        <w:t>Paraguay</w:t>
      </w:r>
      <w:r w:rsidRPr="009E5591">
        <w:rPr>
          <w:sz w:val="18"/>
          <w:szCs w:val="18"/>
        </w:rPr>
        <w:t xml:space="preserve">, ¶ 131, U.N. Doc. </w:t>
      </w:r>
      <w:proofErr w:type="gramStart"/>
      <w:r w:rsidRPr="009E5591">
        <w:rPr>
          <w:sz w:val="18"/>
          <w:szCs w:val="18"/>
        </w:rPr>
        <w:t>A/51/38 (1996).</w:t>
      </w:r>
      <w:proofErr w:type="gramEnd"/>
    </w:p>
  </w:footnote>
  <w:footnote w:id="33">
    <w:p w14:paraId="2E915793" w14:textId="00DEFF01" w:rsidR="00372B07" w:rsidRPr="009E5591" w:rsidRDefault="00372B07">
      <w:pPr>
        <w:pStyle w:val="FootnoteText"/>
        <w:rPr>
          <w:sz w:val="18"/>
          <w:szCs w:val="18"/>
        </w:rPr>
      </w:pPr>
      <w:r w:rsidRPr="009E5591">
        <w:rPr>
          <w:rStyle w:val="FootnoteReference"/>
          <w:sz w:val="18"/>
          <w:szCs w:val="18"/>
        </w:rPr>
        <w:footnoteRef/>
      </w:r>
      <w:r w:rsidRPr="009E5591">
        <w:rPr>
          <w:sz w:val="18"/>
          <w:szCs w:val="18"/>
        </w:rPr>
        <w:t xml:space="preserve"> </w:t>
      </w:r>
      <w:r w:rsidRPr="009E5591">
        <w:rPr>
          <w:i/>
          <w:sz w:val="18"/>
          <w:szCs w:val="18"/>
        </w:rPr>
        <w:t>See, e.g.</w:t>
      </w:r>
      <w:r w:rsidRPr="009E5591">
        <w:rPr>
          <w:sz w:val="18"/>
          <w:szCs w:val="18"/>
        </w:rPr>
        <w:t>, Inter-Am. Comm’n H.R., Precautionary Measures 43-10, “Amelia,” Nicaragua (2010); A, B and C v. Ireland, App. No. 25579/05, Eur. Ct. H.R. ¶¶ 237-238 (2010); Protocol to the African Charter on Human and Peoples’ Rights on the Rights of Women in Africa, 2</w:t>
      </w:r>
      <w:r w:rsidRPr="009E5591">
        <w:rPr>
          <w:sz w:val="18"/>
          <w:szCs w:val="18"/>
          <w:vertAlign w:val="superscript"/>
        </w:rPr>
        <w:t>nd</w:t>
      </w:r>
      <w:r w:rsidRPr="009E5591">
        <w:rPr>
          <w:sz w:val="18"/>
          <w:szCs w:val="18"/>
        </w:rPr>
        <w:t xml:space="preserve"> Ordinary Sess., Assembly of the Union, </w:t>
      </w:r>
      <w:r w:rsidRPr="009E5591">
        <w:rPr>
          <w:i/>
          <w:sz w:val="18"/>
          <w:szCs w:val="18"/>
        </w:rPr>
        <w:t xml:space="preserve">adopted </w:t>
      </w:r>
      <w:r w:rsidRPr="009E5591">
        <w:rPr>
          <w:sz w:val="18"/>
          <w:szCs w:val="18"/>
        </w:rPr>
        <w:t xml:space="preserve">July 11, 2003, art. </w:t>
      </w:r>
      <w:proofErr w:type="gramStart"/>
      <w:r w:rsidRPr="009E5591">
        <w:rPr>
          <w:sz w:val="18"/>
          <w:szCs w:val="18"/>
        </w:rPr>
        <w:t>14(2)(c).</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C235" w14:textId="1B802AE7" w:rsidR="00372B07" w:rsidRDefault="00372B07">
    <w:pPr>
      <w:pStyle w:val="Header"/>
    </w:pPr>
    <w:r w:rsidRPr="00C67D0B">
      <w:rPr>
        <w:rFonts w:cs="Arial"/>
        <w:b/>
        <w:noProof/>
        <w:color w:val="E5DFEC" w:themeColor="accent4" w:themeTint="33"/>
        <w:sz w:val="28"/>
        <w:lang w:eastAsia="en-US"/>
      </w:rPr>
      <w:drawing>
        <wp:anchor distT="0" distB="0" distL="114300" distR="114300" simplePos="0" relativeHeight="251659264" behindDoc="0" locked="1" layoutInCell="0" allowOverlap="0" wp14:anchorId="7DD22E88" wp14:editId="41F314FC">
          <wp:simplePos x="0" y="0"/>
          <wp:positionH relativeFrom="page">
            <wp:posOffset>622935</wp:posOffset>
          </wp:positionH>
          <wp:positionV relativeFrom="page">
            <wp:posOffset>231140</wp:posOffset>
          </wp:positionV>
          <wp:extent cx="6403340" cy="800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3340" cy="8001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162B5C"/>
    <w:lvl w:ilvl="0">
      <w:start w:val="1"/>
      <w:numFmt w:val="decimal"/>
      <w:pStyle w:val="ListNumber"/>
      <w:lvlText w:val="%1."/>
      <w:lvlJc w:val="left"/>
      <w:pPr>
        <w:tabs>
          <w:tab w:val="num" w:pos="360"/>
        </w:tabs>
        <w:ind w:left="360" w:hanging="360"/>
      </w:pPr>
    </w:lvl>
  </w:abstractNum>
  <w:abstractNum w:abstractNumId="1">
    <w:nsid w:val="099140FD"/>
    <w:multiLevelType w:val="hybridMultilevel"/>
    <w:tmpl w:val="F0F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97F62"/>
    <w:multiLevelType w:val="hybridMultilevel"/>
    <w:tmpl w:val="719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81FB8"/>
    <w:multiLevelType w:val="hybridMultilevel"/>
    <w:tmpl w:val="F9FAA016"/>
    <w:lvl w:ilvl="0" w:tplc="3696A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358AA"/>
    <w:multiLevelType w:val="hybridMultilevel"/>
    <w:tmpl w:val="68609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05EF3"/>
    <w:multiLevelType w:val="hybridMultilevel"/>
    <w:tmpl w:val="9F54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8244A"/>
    <w:multiLevelType w:val="hybridMultilevel"/>
    <w:tmpl w:val="00F03E10"/>
    <w:lvl w:ilvl="0" w:tplc="0409000F">
      <w:start w:val="1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46B40"/>
    <w:multiLevelType w:val="multilevel"/>
    <w:tmpl w:val="99524B6E"/>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C071831"/>
    <w:multiLevelType w:val="hybridMultilevel"/>
    <w:tmpl w:val="F7CE3382"/>
    <w:lvl w:ilvl="0" w:tplc="C6064BB0">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A2833"/>
    <w:multiLevelType w:val="hybridMultilevel"/>
    <w:tmpl w:val="B07E8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51768"/>
    <w:multiLevelType w:val="hybridMultilevel"/>
    <w:tmpl w:val="4FE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761CF"/>
    <w:multiLevelType w:val="hybridMultilevel"/>
    <w:tmpl w:val="327C2206"/>
    <w:lvl w:ilvl="0" w:tplc="5E42A3A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76F0C"/>
    <w:multiLevelType w:val="hybridMultilevel"/>
    <w:tmpl w:val="1CD8DC5E"/>
    <w:lvl w:ilvl="0" w:tplc="0409000F">
      <w:start w:val="1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C322C"/>
    <w:multiLevelType w:val="hybridMultilevel"/>
    <w:tmpl w:val="6F9A00A6"/>
    <w:lvl w:ilvl="0" w:tplc="0409000F">
      <w:start w:val="2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A6014"/>
    <w:multiLevelType w:val="hybridMultilevel"/>
    <w:tmpl w:val="0510AB44"/>
    <w:lvl w:ilvl="0" w:tplc="51F8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366F5"/>
    <w:multiLevelType w:val="hybridMultilevel"/>
    <w:tmpl w:val="3A44AF2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6">
    <w:nsid w:val="5EB9333B"/>
    <w:multiLevelType w:val="multilevel"/>
    <w:tmpl w:val="327C220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C0B264C"/>
    <w:multiLevelType w:val="hybridMultilevel"/>
    <w:tmpl w:val="1C22BB1E"/>
    <w:lvl w:ilvl="0" w:tplc="76005DAC">
      <w:start w:val="1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2B5FEC"/>
    <w:multiLevelType w:val="hybridMultilevel"/>
    <w:tmpl w:val="5B7AD106"/>
    <w:lvl w:ilvl="0" w:tplc="51F8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A42E6"/>
    <w:multiLevelType w:val="hybridMultilevel"/>
    <w:tmpl w:val="99524B6E"/>
    <w:lvl w:ilvl="0" w:tplc="5E42A3A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9"/>
  </w:num>
  <w:num w:numId="4">
    <w:abstractNumId w:val="11"/>
  </w:num>
  <w:num w:numId="5">
    <w:abstractNumId w:val="16"/>
  </w:num>
  <w:num w:numId="6">
    <w:abstractNumId w:val="1"/>
  </w:num>
  <w:num w:numId="7">
    <w:abstractNumId w:val="7"/>
  </w:num>
  <w:num w:numId="8">
    <w:abstractNumId w:val="9"/>
  </w:num>
  <w:num w:numId="9">
    <w:abstractNumId w:val="5"/>
  </w:num>
  <w:num w:numId="10">
    <w:abstractNumId w:val="4"/>
  </w:num>
  <w:num w:numId="11">
    <w:abstractNumId w:val="0"/>
  </w:num>
  <w:num w:numId="12">
    <w:abstractNumId w:val="2"/>
  </w:num>
  <w:num w:numId="13">
    <w:abstractNumId w:val="18"/>
  </w:num>
  <w:num w:numId="14">
    <w:abstractNumId w:val="6"/>
  </w:num>
  <w:num w:numId="15">
    <w:abstractNumId w:val="12"/>
  </w:num>
  <w:num w:numId="16">
    <w:abstractNumId w:val="13"/>
  </w:num>
  <w:num w:numId="17">
    <w:abstractNumId w:val="17"/>
  </w:num>
  <w:num w:numId="18">
    <w:abstractNumId w:val="1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78"/>
    <w:rsid w:val="00004063"/>
    <w:rsid w:val="0001657F"/>
    <w:rsid w:val="00016D4C"/>
    <w:rsid w:val="00023DD4"/>
    <w:rsid w:val="00024F6D"/>
    <w:rsid w:val="00027009"/>
    <w:rsid w:val="00033DF9"/>
    <w:rsid w:val="00035E06"/>
    <w:rsid w:val="0003651D"/>
    <w:rsid w:val="00050041"/>
    <w:rsid w:val="000616A6"/>
    <w:rsid w:val="000650A0"/>
    <w:rsid w:val="000650EA"/>
    <w:rsid w:val="00065DFC"/>
    <w:rsid w:val="00071AEC"/>
    <w:rsid w:val="00072AFC"/>
    <w:rsid w:val="000738FF"/>
    <w:rsid w:val="0008003C"/>
    <w:rsid w:val="000830A9"/>
    <w:rsid w:val="0008310C"/>
    <w:rsid w:val="00084DAA"/>
    <w:rsid w:val="0008661A"/>
    <w:rsid w:val="00087142"/>
    <w:rsid w:val="00087B95"/>
    <w:rsid w:val="000A3B7D"/>
    <w:rsid w:val="000B29BC"/>
    <w:rsid w:val="000B52FD"/>
    <w:rsid w:val="000D5D1E"/>
    <w:rsid w:val="000E3D1D"/>
    <w:rsid w:val="000E4C61"/>
    <w:rsid w:val="000E5D54"/>
    <w:rsid w:val="000F04B4"/>
    <w:rsid w:val="000F366B"/>
    <w:rsid w:val="00101F7A"/>
    <w:rsid w:val="00106CAB"/>
    <w:rsid w:val="00107E34"/>
    <w:rsid w:val="0011547B"/>
    <w:rsid w:val="001178EF"/>
    <w:rsid w:val="00120478"/>
    <w:rsid w:val="00133455"/>
    <w:rsid w:val="001536F1"/>
    <w:rsid w:val="001550EE"/>
    <w:rsid w:val="00160E51"/>
    <w:rsid w:val="001654BC"/>
    <w:rsid w:val="001743DF"/>
    <w:rsid w:val="00186494"/>
    <w:rsid w:val="00187BA1"/>
    <w:rsid w:val="001911F8"/>
    <w:rsid w:val="001B3783"/>
    <w:rsid w:val="001B5269"/>
    <w:rsid w:val="001C0755"/>
    <w:rsid w:val="001C473D"/>
    <w:rsid w:val="001C5AB6"/>
    <w:rsid w:val="001C5E23"/>
    <w:rsid w:val="001C5E53"/>
    <w:rsid w:val="001D05C3"/>
    <w:rsid w:val="001D30A8"/>
    <w:rsid w:val="00201FCC"/>
    <w:rsid w:val="002127E3"/>
    <w:rsid w:val="00222867"/>
    <w:rsid w:val="00230905"/>
    <w:rsid w:val="00235F53"/>
    <w:rsid w:val="00240D95"/>
    <w:rsid w:val="00240E22"/>
    <w:rsid w:val="00241150"/>
    <w:rsid w:val="00252E64"/>
    <w:rsid w:val="00260AFD"/>
    <w:rsid w:val="00263263"/>
    <w:rsid w:val="00266B7F"/>
    <w:rsid w:val="00266C7E"/>
    <w:rsid w:val="00273A47"/>
    <w:rsid w:val="0028161C"/>
    <w:rsid w:val="00285E13"/>
    <w:rsid w:val="00296A5F"/>
    <w:rsid w:val="002A191C"/>
    <w:rsid w:val="002A6E77"/>
    <w:rsid w:val="002B1EC1"/>
    <w:rsid w:val="002C0EC1"/>
    <w:rsid w:val="002C716F"/>
    <w:rsid w:val="002D252B"/>
    <w:rsid w:val="002D2B98"/>
    <w:rsid w:val="002E1AFD"/>
    <w:rsid w:val="002F7CB2"/>
    <w:rsid w:val="00301311"/>
    <w:rsid w:val="00301C60"/>
    <w:rsid w:val="0031316C"/>
    <w:rsid w:val="003301ED"/>
    <w:rsid w:val="00334B7F"/>
    <w:rsid w:val="00342B37"/>
    <w:rsid w:val="0035192D"/>
    <w:rsid w:val="003532E6"/>
    <w:rsid w:val="0035494A"/>
    <w:rsid w:val="00354E0F"/>
    <w:rsid w:val="00360D6A"/>
    <w:rsid w:val="00361518"/>
    <w:rsid w:val="00365F0D"/>
    <w:rsid w:val="00366052"/>
    <w:rsid w:val="00367FF5"/>
    <w:rsid w:val="00372B07"/>
    <w:rsid w:val="00376DA8"/>
    <w:rsid w:val="003775DF"/>
    <w:rsid w:val="00377FFC"/>
    <w:rsid w:val="003A0FE4"/>
    <w:rsid w:val="003B36A5"/>
    <w:rsid w:val="003B5F4D"/>
    <w:rsid w:val="003D000A"/>
    <w:rsid w:val="003D2C67"/>
    <w:rsid w:val="003D507B"/>
    <w:rsid w:val="003D713A"/>
    <w:rsid w:val="003D7E3F"/>
    <w:rsid w:val="003E43BD"/>
    <w:rsid w:val="003F4B9B"/>
    <w:rsid w:val="003F646B"/>
    <w:rsid w:val="00407C68"/>
    <w:rsid w:val="00421194"/>
    <w:rsid w:val="004248B9"/>
    <w:rsid w:val="00433173"/>
    <w:rsid w:val="00437A11"/>
    <w:rsid w:val="00455CCA"/>
    <w:rsid w:val="004560F7"/>
    <w:rsid w:val="00456963"/>
    <w:rsid w:val="00456DF2"/>
    <w:rsid w:val="00474111"/>
    <w:rsid w:val="00482AC0"/>
    <w:rsid w:val="00487045"/>
    <w:rsid w:val="0049113B"/>
    <w:rsid w:val="004A274F"/>
    <w:rsid w:val="004B34CC"/>
    <w:rsid w:val="004B6768"/>
    <w:rsid w:val="004C1B7E"/>
    <w:rsid w:val="004C27A2"/>
    <w:rsid w:val="004C27C1"/>
    <w:rsid w:val="004C3C8A"/>
    <w:rsid w:val="004D0336"/>
    <w:rsid w:val="004D09E0"/>
    <w:rsid w:val="004D2347"/>
    <w:rsid w:val="004D543E"/>
    <w:rsid w:val="004D5819"/>
    <w:rsid w:val="004E1237"/>
    <w:rsid w:val="004E375C"/>
    <w:rsid w:val="004F7794"/>
    <w:rsid w:val="004F7DD2"/>
    <w:rsid w:val="0050094E"/>
    <w:rsid w:val="00502D3B"/>
    <w:rsid w:val="00503BC7"/>
    <w:rsid w:val="00505AA6"/>
    <w:rsid w:val="005076FF"/>
    <w:rsid w:val="0053519E"/>
    <w:rsid w:val="00535C27"/>
    <w:rsid w:val="00536777"/>
    <w:rsid w:val="00543453"/>
    <w:rsid w:val="0054378D"/>
    <w:rsid w:val="00563F4F"/>
    <w:rsid w:val="00573F60"/>
    <w:rsid w:val="00583781"/>
    <w:rsid w:val="005866A1"/>
    <w:rsid w:val="00590BBA"/>
    <w:rsid w:val="0059150D"/>
    <w:rsid w:val="005A096B"/>
    <w:rsid w:val="005A524F"/>
    <w:rsid w:val="005A772C"/>
    <w:rsid w:val="005B266B"/>
    <w:rsid w:val="005B7ED7"/>
    <w:rsid w:val="005C3FDA"/>
    <w:rsid w:val="005C5F98"/>
    <w:rsid w:val="005D4635"/>
    <w:rsid w:val="005D6327"/>
    <w:rsid w:val="005E0643"/>
    <w:rsid w:val="005E4849"/>
    <w:rsid w:val="005E5F8D"/>
    <w:rsid w:val="00606603"/>
    <w:rsid w:val="006066CB"/>
    <w:rsid w:val="00606FC5"/>
    <w:rsid w:val="0061156E"/>
    <w:rsid w:val="00621237"/>
    <w:rsid w:val="00621673"/>
    <w:rsid w:val="00631D61"/>
    <w:rsid w:val="00635E7F"/>
    <w:rsid w:val="00642A12"/>
    <w:rsid w:val="00660229"/>
    <w:rsid w:val="00664EDD"/>
    <w:rsid w:val="0066544A"/>
    <w:rsid w:val="00667C61"/>
    <w:rsid w:val="00677038"/>
    <w:rsid w:val="006852CE"/>
    <w:rsid w:val="00692F71"/>
    <w:rsid w:val="006A2F68"/>
    <w:rsid w:val="006B3CEF"/>
    <w:rsid w:val="006C6674"/>
    <w:rsid w:val="006F12A0"/>
    <w:rsid w:val="006F1CFE"/>
    <w:rsid w:val="006F35F5"/>
    <w:rsid w:val="006F74A6"/>
    <w:rsid w:val="00702916"/>
    <w:rsid w:val="00705735"/>
    <w:rsid w:val="00717E9F"/>
    <w:rsid w:val="00736584"/>
    <w:rsid w:val="007432EC"/>
    <w:rsid w:val="007465B7"/>
    <w:rsid w:val="00751746"/>
    <w:rsid w:val="007522BC"/>
    <w:rsid w:val="00766497"/>
    <w:rsid w:val="007741E8"/>
    <w:rsid w:val="00776D47"/>
    <w:rsid w:val="007927CA"/>
    <w:rsid w:val="00793663"/>
    <w:rsid w:val="007966C8"/>
    <w:rsid w:val="007A2A87"/>
    <w:rsid w:val="007B1C4F"/>
    <w:rsid w:val="007B1F65"/>
    <w:rsid w:val="007B5D33"/>
    <w:rsid w:val="007B7A35"/>
    <w:rsid w:val="007C1FB7"/>
    <w:rsid w:val="007C520F"/>
    <w:rsid w:val="007C5CC4"/>
    <w:rsid w:val="007C67A9"/>
    <w:rsid w:val="007C7831"/>
    <w:rsid w:val="007C7C6D"/>
    <w:rsid w:val="007D6D1B"/>
    <w:rsid w:val="007E6D36"/>
    <w:rsid w:val="007F53F8"/>
    <w:rsid w:val="007F7591"/>
    <w:rsid w:val="0080070B"/>
    <w:rsid w:val="00800C39"/>
    <w:rsid w:val="00800DC5"/>
    <w:rsid w:val="008074F3"/>
    <w:rsid w:val="00815F2C"/>
    <w:rsid w:val="00820AF5"/>
    <w:rsid w:val="008268D6"/>
    <w:rsid w:val="00831ECA"/>
    <w:rsid w:val="008347AF"/>
    <w:rsid w:val="0084052C"/>
    <w:rsid w:val="0084426E"/>
    <w:rsid w:val="0085682D"/>
    <w:rsid w:val="008670BA"/>
    <w:rsid w:val="008719A3"/>
    <w:rsid w:val="00874D5C"/>
    <w:rsid w:val="00876E3F"/>
    <w:rsid w:val="00877E78"/>
    <w:rsid w:val="00880378"/>
    <w:rsid w:val="00881615"/>
    <w:rsid w:val="008845A7"/>
    <w:rsid w:val="008914E5"/>
    <w:rsid w:val="00895EE2"/>
    <w:rsid w:val="008A374A"/>
    <w:rsid w:val="008A42A5"/>
    <w:rsid w:val="008A68C7"/>
    <w:rsid w:val="008A7356"/>
    <w:rsid w:val="008B2BDF"/>
    <w:rsid w:val="008B432C"/>
    <w:rsid w:val="008B46DC"/>
    <w:rsid w:val="008D0EC7"/>
    <w:rsid w:val="008D6C77"/>
    <w:rsid w:val="008F5BA2"/>
    <w:rsid w:val="008F6459"/>
    <w:rsid w:val="00902037"/>
    <w:rsid w:val="0090487F"/>
    <w:rsid w:val="00910CA4"/>
    <w:rsid w:val="00911C71"/>
    <w:rsid w:val="00925C5F"/>
    <w:rsid w:val="009334E7"/>
    <w:rsid w:val="00936004"/>
    <w:rsid w:val="00941C3F"/>
    <w:rsid w:val="00942DC0"/>
    <w:rsid w:val="00944EB1"/>
    <w:rsid w:val="009512E1"/>
    <w:rsid w:val="00952C2C"/>
    <w:rsid w:val="009566DB"/>
    <w:rsid w:val="009632B0"/>
    <w:rsid w:val="00973B7C"/>
    <w:rsid w:val="0098085B"/>
    <w:rsid w:val="00984CE0"/>
    <w:rsid w:val="00985967"/>
    <w:rsid w:val="00995224"/>
    <w:rsid w:val="009A0976"/>
    <w:rsid w:val="009A1F04"/>
    <w:rsid w:val="009A347C"/>
    <w:rsid w:val="009B7379"/>
    <w:rsid w:val="009C0250"/>
    <w:rsid w:val="009D7066"/>
    <w:rsid w:val="009E08F5"/>
    <w:rsid w:val="009E5591"/>
    <w:rsid w:val="009E5B23"/>
    <w:rsid w:val="009E7764"/>
    <w:rsid w:val="009F0F11"/>
    <w:rsid w:val="00A0143B"/>
    <w:rsid w:val="00A15558"/>
    <w:rsid w:val="00A21AA7"/>
    <w:rsid w:val="00A22AEB"/>
    <w:rsid w:val="00A253A9"/>
    <w:rsid w:val="00A274A1"/>
    <w:rsid w:val="00A279F2"/>
    <w:rsid w:val="00A36DCA"/>
    <w:rsid w:val="00A37D5A"/>
    <w:rsid w:val="00A4284B"/>
    <w:rsid w:val="00A42B6F"/>
    <w:rsid w:val="00A52775"/>
    <w:rsid w:val="00A74D9D"/>
    <w:rsid w:val="00A84916"/>
    <w:rsid w:val="00AA0BFD"/>
    <w:rsid w:val="00AC33C4"/>
    <w:rsid w:val="00AC4075"/>
    <w:rsid w:val="00AC425E"/>
    <w:rsid w:val="00AC7340"/>
    <w:rsid w:val="00AD2C1B"/>
    <w:rsid w:val="00AD4C8E"/>
    <w:rsid w:val="00AD5B9C"/>
    <w:rsid w:val="00AF1C21"/>
    <w:rsid w:val="00AF2191"/>
    <w:rsid w:val="00B0677F"/>
    <w:rsid w:val="00B073ED"/>
    <w:rsid w:val="00B12602"/>
    <w:rsid w:val="00B15CF3"/>
    <w:rsid w:val="00B162CE"/>
    <w:rsid w:val="00B2039C"/>
    <w:rsid w:val="00B2232A"/>
    <w:rsid w:val="00B25F9E"/>
    <w:rsid w:val="00B26C9E"/>
    <w:rsid w:val="00B305BF"/>
    <w:rsid w:val="00B34B45"/>
    <w:rsid w:val="00B35FA2"/>
    <w:rsid w:val="00B45D0B"/>
    <w:rsid w:val="00B47D14"/>
    <w:rsid w:val="00B517B9"/>
    <w:rsid w:val="00B62242"/>
    <w:rsid w:val="00B62B59"/>
    <w:rsid w:val="00B63CF3"/>
    <w:rsid w:val="00B669D0"/>
    <w:rsid w:val="00B708D5"/>
    <w:rsid w:val="00B82B18"/>
    <w:rsid w:val="00BA131A"/>
    <w:rsid w:val="00BA1E01"/>
    <w:rsid w:val="00BC1836"/>
    <w:rsid w:val="00BC61B5"/>
    <w:rsid w:val="00BD245F"/>
    <w:rsid w:val="00BD42DC"/>
    <w:rsid w:val="00BD532D"/>
    <w:rsid w:val="00BE24B3"/>
    <w:rsid w:val="00BE5DAF"/>
    <w:rsid w:val="00BF3550"/>
    <w:rsid w:val="00C1253C"/>
    <w:rsid w:val="00C14D67"/>
    <w:rsid w:val="00C30331"/>
    <w:rsid w:val="00C42376"/>
    <w:rsid w:val="00C56B48"/>
    <w:rsid w:val="00C63F63"/>
    <w:rsid w:val="00C66259"/>
    <w:rsid w:val="00C67D8A"/>
    <w:rsid w:val="00C72B5A"/>
    <w:rsid w:val="00C748AD"/>
    <w:rsid w:val="00C87D0A"/>
    <w:rsid w:val="00CA24A2"/>
    <w:rsid w:val="00CA2A55"/>
    <w:rsid w:val="00CA768E"/>
    <w:rsid w:val="00CB4501"/>
    <w:rsid w:val="00CC22CD"/>
    <w:rsid w:val="00CC24FF"/>
    <w:rsid w:val="00CC3A3E"/>
    <w:rsid w:val="00CC48FA"/>
    <w:rsid w:val="00CC7310"/>
    <w:rsid w:val="00CF1BF8"/>
    <w:rsid w:val="00CF39DE"/>
    <w:rsid w:val="00CF3F90"/>
    <w:rsid w:val="00D0799C"/>
    <w:rsid w:val="00D46417"/>
    <w:rsid w:val="00D46884"/>
    <w:rsid w:val="00D476E2"/>
    <w:rsid w:val="00D55D1E"/>
    <w:rsid w:val="00D63041"/>
    <w:rsid w:val="00D74593"/>
    <w:rsid w:val="00D92E33"/>
    <w:rsid w:val="00D962D8"/>
    <w:rsid w:val="00D96884"/>
    <w:rsid w:val="00DB18A6"/>
    <w:rsid w:val="00DD16B6"/>
    <w:rsid w:val="00DD25F8"/>
    <w:rsid w:val="00DF54A9"/>
    <w:rsid w:val="00DF5FBE"/>
    <w:rsid w:val="00E161B8"/>
    <w:rsid w:val="00E17E4A"/>
    <w:rsid w:val="00E305BA"/>
    <w:rsid w:val="00E36D63"/>
    <w:rsid w:val="00E36E8D"/>
    <w:rsid w:val="00E37A55"/>
    <w:rsid w:val="00E4372D"/>
    <w:rsid w:val="00E44DE8"/>
    <w:rsid w:val="00E54278"/>
    <w:rsid w:val="00E63185"/>
    <w:rsid w:val="00E7134C"/>
    <w:rsid w:val="00E8141F"/>
    <w:rsid w:val="00E91DCE"/>
    <w:rsid w:val="00EA501F"/>
    <w:rsid w:val="00EB17F1"/>
    <w:rsid w:val="00EB5632"/>
    <w:rsid w:val="00EB7937"/>
    <w:rsid w:val="00EC1A1B"/>
    <w:rsid w:val="00ED259E"/>
    <w:rsid w:val="00EE0B4E"/>
    <w:rsid w:val="00EE3E28"/>
    <w:rsid w:val="00EE6CE8"/>
    <w:rsid w:val="00EE7833"/>
    <w:rsid w:val="00EE7C9B"/>
    <w:rsid w:val="00EF0614"/>
    <w:rsid w:val="00EF4342"/>
    <w:rsid w:val="00F01F8F"/>
    <w:rsid w:val="00F05DED"/>
    <w:rsid w:val="00F305E8"/>
    <w:rsid w:val="00F36159"/>
    <w:rsid w:val="00F4159D"/>
    <w:rsid w:val="00F46C71"/>
    <w:rsid w:val="00F640BF"/>
    <w:rsid w:val="00F70D7D"/>
    <w:rsid w:val="00F71281"/>
    <w:rsid w:val="00F73AE0"/>
    <w:rsid w:val="00F7765A"/>
    <w:rsid w:val="00F94E01"/>
    <w:rsid w:val="00F97E23"/>
    <w:rsid w:val="00FA0B58"/>
    <w:rsid w:val="00FA5A80"/>
    <w:rsid w:val="00FA78E4"/>
    <w:rsid w:val="00FB03E6"/>
    <w:rsid w:val="00FB425F"/>
    <w:rsid w:val="00FC6D92"/>
    <w:rsid w:val="00FD1CD9"/>
    <w:rsid w:val="00FD586D"/>
    <w:rsid w:val="00FD65BD"/>
    <w:rsid w:val="00FE3A74"/>
    <w:rsid w:val="00FE6553"/>
    <w:rsid w:val="00FF36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5A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47"/>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81"/>
    <w:pPr>
      <w:ind w:left="720"/>
      <w:contextualSpacing/>
    </w:pPr>
  </w:style>
  <w:style w:type="paragraph" w:styleId="ListNumber">
    <w:name w:val="List Number"/>
    <w:basedOn w:val="Normal"/>
    <w:uiPriority w:val="99"/>
    <w:semiHidden/>
    <w:unhideWhenUsed/>
    <w:rsid w:val="009C0250"/>
    <w:pPr>
      <w:numPr>
        <w:numId w:val="11"/>
      </w:numPr>
      <w:contextualSpacing/>
    </w:pPr>
  </w:style>
  <w:style w:type="character" w:styleId="Hyperlink">
    <w:name w:val="Hyperlink"/>
    <w:basedOn w:val="DefaultParagraphFont"/>
    <w:uiPriority w:val="99"/>
    <w:unhideWhenUsed/>
    <w:rsid w:val="00DD25F8"/>
    <w:rPr>
      <w:color w:val="0000FF"/>
      <w:u w:val="single"/>
    </w:rPr>
  </w:style>
  <w:style w:type="paragraph" w:styleId="NormalWeb">
    <w:name w:val="Normal (Web)"/>
    <w:basedOn w:val="Normal"/>
    <w:uiPriority w:val="99"/>
    <w:semiHidden/>
    <w:unhideWhenUsed/>
    <w:rsid w:val="00DD25F8"/>
    <w:pPr>
      <w:spacing w:before="100" w:beforeAutospacing="1" w:after="100" w:afterAutospacing="1"/>
    </w:pPr>
    <w:rPr>
      <w:rFonts w:eastAsiaTheme="minorHAnsi" w:cs="Times New Roman"/>
      <w:sz w:val="24"/>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rsid w:val="003A0FE4"/>
    <w:pPr>
      <w:spacing w:after="0"/>
    </w:pPr>
    <w:rPr>
      <w:sz w:val="24"/>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3A0FE4"/>
    <w:rPr>
      <w:rFonts w:ascii="Times New Roman" w:hAnsi="Times New Roman"/>
      <w:sz w:val="24"/>
      <w:szCs w:val="24"/>
    </w:rPr>
  </w:style>
  <w:style w:type="character" w:styleId="FootnoteReference">
    <w:name w:val="footnote reference"/>
    <w:aliases w:val="Texto de nota al pie,Appel note de bas de page,Footnotes refss,f,Footnote number,referencia nota al pie,BVI fnr,4_G,16 Point,Superscript 6 Point"/>
    <w:basedOn w:val="DefaultParagraphFont"/>
    <w:unhideWhenUsed/>
    <w:rsid w:val="003A0FE4"/>
    <w:rPr>
      <w:vertAlign w:val="superscript"/>
    </w:rPr>
  </w:style>
  <w:style w:type="paragraph" w:styleId="EndnoteText">
    <w:name w:val="endnote text"/>
    <w:basedOn w:val="Normal"/>
    <w:link w:val="EndnoteTextChar"/>
    <w:uiPriority w:val="99"/>
    <w:unhideWhenUsed/>
    <w:rsid w:val="004E375C"/>
    <w:pPr>
      <w:spacing w:after="0"/>
    </w:pPr>
    <w:rPr>
      <w:sz w:val="24"/>
    </w:rPr>
  </w:style>
  <w:style w:type="character" w:customStyle="1" w:styleId="EndnoteTextChar">
    <w:name w:val="Endnote Text Char"/>
    <w:basedOn w:val="DefaultParagraphFont"/>
    <w:link w:val="EndnoteText"/>
    <w:uiPriority w:val="99"/>
    <w:rsid w:val="004E375C"/>
    <w:rPr>
      <w:rFonts w:ascii="Times New Roman" w:hAnsi="Times New Roman"/>
      <w:sz w:val="24"/>
      <w:szCs w:val="24"/>
    </w:rPr>
  </w:style>
  <w:style w:type="character" w:styleId="EndnoteReference">
    <w:name w:val="endnote reference"/>
    <w:basedOn w:val="DefaultParagraphFont"/>
    <w:uiPriority w:val="99"/>
    <w:unhideWhenUsed/>
    <w:rsid w:val="004E375C"/>
    <w:rPr>
      <w:vertAlign w:val="superscript"/>
    </w:rPr>
  </w:style>
  <w:style w:type="paragraph" w:styleId="Footer">
    <w:name w:val="footer"/>
    <w:basedOn w:val="Normal"/>
    <w:link w:val="FooterChar"/>
    <w:uiPriority w:val="99"/>
    <w:unhideWhenUsed/>
    <w:rsid w:val="0031316C"/>
    <w:pPr>
      <w:tabs>
        <w:tab w:val="center" w:pos="4320"/>
        <w:tab w:val="right" w:pos="8640"/>
      </w:tabs>
      <w:spacing w:after="0"/>
    </w:pPr>
  </w:style>
  <w:style w:type="character" w:customStyle="1" w:styleId="FooterChar">
    <w:name w:val="Footer Char"/>
    <w:basedOn w:val="DefaultParagraphFont"/>
    <w:link w:val="Footer"/>
    <w:uiPriority w:val="99"/>
    <w:rsid w:val="0031316C"/>
    <w:rPr>
      <w:rFonts w:ascii="Times New Roman" w:hAnsi="Times New Roman"/>
      <w:sz w:val="18"/>
      <w:szCs w:val="24"/>
    </w:rPr>
  </w:style>
  <w:style w:type="character" w:styleId="PageNumber">
    <w:name w:val="page number"/>
    <w:basedOn w:val="DefaultParagraphFont"/>
    <w:uiPriority w:val="99"/>
    <w:semiHidden/>
    <w:unhideWhenUsed/>
    <w:rsid w:val="0031316C"/>
  </w:style>
  <w:style w:type="character" w:styleId="FollowedHyperlink">
    <w:name w:val="FollowedHyperlink"/>
    <w:basedOn w:val="DefaultParagraphFont"/>
    <w:uiPriority w:val="99"/>
    <w:semiHidden/>
    <w:unhideWhenUsed/>
    <w:rsid w:val="00CF3F90"/>
    <w:rPr>
      <w:color w:val="800080" w:themeColor="followedHyperlink"/>
      <w:u w:val="single"/>
    </w:rPr>
  </w:style>
  <w:style w:type="paragraph" w:styleId="Header">
    <w:name w:val="header"/>
    <w:basedOn w:val="Normal"/>
    <w:link w:val="HeaderChar"/>
    <w:uiPriority w:val="99"/>
    <w:unhideWhenUsed/>
    <w:rsid w:val="008670BA"/>
    <w:pPr>
      <w:tabs>
        <w:tab w:val="center" w:pos="4320"/>
        <w:tab w:val="right" w:pos="8640"/>
      </w:tabs>
      <w:spacing w:after="0"/>
    </w:pPr>
  </w:style>
  <w:style w:type="character" w:customStyle="1" w:styleId="HeaderChar">
    <w:name w:val="Header Char"/>
    <w:basedOn w:val="DefaultParagraphFont"/>
    <w:link w:val="Header"/>
    <w:uiPriority w:val="99"/>
    <w:rsid w:val="008670BA"/>
    <w:rPr>
      <w:rFonts w:ascii="Times New Roman" w:hAnsi="Times New Roman"/>
      <w:sz w:val="18"/>
      <w:szCs w:val="24"/>
    </w:rPr>
  </w:style>
  <w:style w:type="character" w:styleId="CommentReference">
    <w:name w:val="annotation reference"/>
    <w:basedOn w:val="DefaultParagraphFont"/>
    <w:uiPriority w:val="99"/>
    <w:semiHidden/>
    <w:unhideWhenUsed/>
    <w:rsid w:val="008670BA"/>
    <w:rPr>
      <w:sz w:val="18"/>
      <w:szCs w:val="18"/>
    </w:rPr>
  </w:style>
  <w:style w:type="paragraph" w:styleId="CommentText">
    <w:name w:val="annotation text"/>
    <w:basedOn w:val="Normal"/>
    <w:link w:val="CommentTextChar"/>
    <w:uiPriority w:val="99"/>
    <w:unhideWhenUsed/>
    <w:rsid w:val="008670BA"/>
    <w:rPr>
      <w:sz w:val="24"/>
    </w:rPr>
  </w:style>
  <w:style w:type="character" w:customStyle="1" w:styleId="CommentTextChar">
    <w:name w:val="Comment Text Char"/>
    <w:basedOn w:val="DefaultParagraphFont"/>
    <w:link w:val="CommentText"/>
    <w:uiPriority w:val="99"/>
    <w:rsid w:val="008670B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670BA"/>
    <w:rPr>
      <w:b/>
      <w:bCs/>
      <w:sz w:val="20"/>
      <w:szCs w:val="20"/>
    </w:rPr>
  </w:style>
  <w:style w:type="character" w:customStyle="1" w:styleId="CommentSubjectChar">
    <w:name w:val="Comment Subject Char"/>
    <w:basedOn w:val="CommentTextChar"/>
    <w:link w:val="CommentSubject"/>
    <w:uiPriority w:val="99"/>
    <w:semiHidden/>
    <w:rsid w:val="008670BA"/>
    <w:rPr>
      <w:rFonts w:ascii="Times New Roman" w:hAnsi="Times New Roman"/>
      <w:b/>
      <w:bCs/>
      <w:sz w:val="24"/>
      <w:szCs w:val="24"/>
    </w:rPr>
  </w:style>
  <w:style w:type="paragraph" w:styleId="BalloonText">
    <w:name w:val="Balloon Text"/>
    <w:basedOn w:val="Normal"/>
    <w:link w:val="BalloonTextChar"/>
    <w:uiPriority w:val="99"/>
    <w:semiHidden/>
    <w:unhideWhenUsed/>
    <w:rsid w:val="008670BA"/>
    <w:pPr>
      <w:spacing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8670BA"/>
    <w:rPr>
      <w:rFonts w:ascii="Lucida Grande" w:hAnsi="Lucida Grande" w:cs="Lucida Grande"/>
      <w:sz w:val="18"/>
      <w:szCs w:val="18"/>
    </w:rPr>
  </w:style>
  <w:style w:type="character" w:customStyle="1" w:styleId="apple-style-span">
    <w:name w:val="apple-style-span"/>
    <w:basedOn w:val="DefaultParagraphFont"/>
    <w:rsid w:val="00776D47"/>
  </w:style>
  <w:style w:type="character" w:customStyle="1" w:styleId="apple-converted-space">
    <w:name w:val="apple-converted-space"/>
    <w:rsid w:val="00776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47"/>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81"/>
    <w:pPr>
      <w:ind w:left="720"/>
      <w:contextualSpacing/>
    </w:pPr>
  </w:style>
  <w:style w:type="paragraph" w:styleId="ListNumber">
    <w:name w:val="List Number"/>
    <w:basedOn w:val="Normal"/>
    <w:uiPriority w:val="99"/>
    <w:semiHidden/>
    <w:unhideWhenUsed/>
    <w:rsid w:val="009C0250"/>
    <w:pPr>
      <w:numPr>
        <w:numId w:val="11"/>
      </w:numPr>
      <w:contextualSpacing/>
    </w:pPr>
  </w:style>
  <w:style w:type="character" w:styleId="Hyperlink">
    <w:name w:val="Hyperlink"/>
    <w:basedOn w:val="DefaultParagraphFont"/>
    <w:uiPriority w:val="99"/>
    <w:unhideWhenUsed/>
    <w:rsid w:val="00DD25F8"/>
    <w:rPr>
      <w:color w:val="0000FF"/>
      <w:u w:val="single"/>
    </w:rPr>
  </w:style>
  <w:style w:type="paragraph" w:styleId="NormalWeb">
    <w:name w:val="Normal (Web)"/>
    <w:basedOn w:val="Normal"/>
    <w:uiPriority w:val="99"/>
    <w:semiHidden/>
    <w:unhideWhenUsed/>
    <w:rsid w:val="00DD25F8"/>
    <w:pPr>
      <w:spacing w:before="100" w:beforeAutospacing="1" w:after="100" w:afterAutospacing="1"/>
    </w:pPr>
    <w:rPr>
      <w:rFonts w:eastAsiaTheme="minorHAnsi" w:cs="Times New Roman"/>
      <w:sz w:val="24"/>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rsid w:val="003A0FE4"/>
    <w:pPr>
      <w:spacing w:after="0"/>
    </w:pPr>
    <w:rPr>
      <w:sz w:val="24"/>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3A0FE4"/>
    <w:rPr>
      <w:rFonts w:ascii="Times New Roman" w:hAnsi="Times New Roman"/>
      <w:sz w:val="24"/>
      <w:szCs w:val="24"/>
    </w:rPr>
  </w:style>
  <w:style w:type="character" w:styleId="FootnoteReference">
    <w:name w:val="footnote reference"/>
    <w:aliases w:val="Texto de nota al pie,Appel note de bas de page,Footnotes refss,f,Footnote number,referencia nota al pie,BVI fnr,4_G,16 Point,Superscript 6 Point"/>
    <w:basedOn w:val="DefaultParagraphFont"/>
    <w:unhideWhenUsed/>
    <w:rsid w:val="003A0FE4"/>
    <w:rPr>
      <w:vertAlign w:val="superscript"/>
    </w:rPr>
  </w:style>
  <w:style w:type="paragraph" w:styleId="EndnoteText">
    <w:name w:val="endnote text"/>
    <w:basedOn w:val="Normal"/>
    <w:link w:val="EndnoteTextChar"/>
    <w:uiPriority w:val="99"/>
    <w:unhideWhenUsed/>
    <w:rsid w:val="004E375C"/>
    <w:pPr>
      <w:spacing w:after="0"/>
    </w:pPr>
    <w:rPr>
      <w:sz w:val="24"/>
    </w:rPr>
  </w:style>
  <w:style w:type="character" w:customStyle="1" w:styleId="EndnoteTextChar">
    <w:name w:val="Endnote Text Char"/>
    <w:basedOn w:val="DefaultParagraphFont"/>
    <w:link w:val="EndnoteText"/>
    <w:uiPriority w:val="99"/>
    <w:rsid w:val="004E375C"/>
    <w:rPr>
      <w:rFonts w:ascii="Times New Roman" w:hAnsi="Times New Roman"/>
      <w:sz w:val="24"/>
      <w:szCs w:val="24"/>
    </w:rPr>
  </w:style>
  <w:style w:type="character" w:styleId="EndnoteReference">
    <w:name w:val="endnote reference"/>
    <w:basedOn w:val="DefaultParagraphFont"/>
    <w:uiPriority w:val="99"/>
    <w:unhideWhenUsed/>
    <w:rsid w:val="004E375C"/>
    <w:rPr>
      <w:vertAlign w:val="superscript"/>
    </w:rPr>
  </w:style>
  <w:style w:type="paragraph" w:styleId="Footer">
    <w:name w:val="footer"/>
    <w:basedOn w:val="Normal"/>
    <w:link w:val="FooterChar"/>
    <w:uiPriority w:val="99"/>
    <w:unhideWhenUsed/>
    <w:rsid w:val="0031316C"/>
    <w:pPr>
      <w:tabs>
        <w:tab w:val="center" w:pos="4320"/>
        <w:tab w:val="right" w:pos="8640"/>
      </w:tabs>
      <w:spacing w:after="0"/>
    </w:pPr>
  </w:style>
  <w:style w:type="character" w:customStyle="1" w:styleId="FooterChar">
    <w:name w:val="Footer Char"/>
    <w:basedOn w:val="DefaultParagraphFont"/>
    <w:link w:val="Footer"/>
    <w:uiPriority w:val="99"/>
    <w:rsid w:val="0031316C"/>
    <w:rPr>
      <w:rFonts w:ascii="Times New Roman" w:hAnsi="Times New Roman"/>
      <w:sz w:val="18"/>
      <w:szCs w:val="24"/>
    </w:rPr>
  </w:style>
  <w:style w:type="character" w:styleId="PageNumber">
    <w:name w:val="page number"/>
    <w:basedOn w:val="DefaultParagraphFont"/>
    <w:uiPriority w:val="99"/>
    <w:semiHidden/>
    <w:unhideWhenUsed/>
    <w:rsid w:val="0031316C"/>
  </w:style>
  <w:style w:type="character" w:styleId="FollowedHyperlink">
    <w:name w:val="FollowedHyperlink"/>
    <w:basedOn w:val="DefaultParagraphFont"/>
    <w:uiPriority w:val="99"/>
    <w:semiHidden/>
    <w:unhideWhenUsed/>
    <w:rsid w:val="00CF3F90"/>
    <w:rPr>
      <w:color w:val="800080" w:themeColor="followedHyperlink"/>
      <w:u w:val="single"/>
    </w:rPr>
  </w:style>
  <w:style w:type="paragraph" w:styleId="Header">
    <w:name w:val="header"/>
    <w:basedOn w:val="Normal"/>
    <w:link w:val="HeaderChar"/>
    <w:uiPriority w:val="99"/>
    <w:unhideWhenUsed/>
    <w:rsid w:val="008670BA"/>
    <w:pPr>
      <w:tabs>
        <w:tab w:val="center" w:pos="4320"/>
        <w:tab w:val="right" w:pos="8640"/>
      </w:tabs>
      <w:spacing w:after="0"/>
    </w:pPr>
  </w:style>
  <w:style w:type="character" w:customStyle="1" w:styleId="HeaderChar">
    <w:name w:val="Header Char"/>
    <w:basedOn w:val="DefaultParagraphFont"/>
    <w:link w:val="Header"/>
    <w:uiPriority w:val="99"/>
    <w:rsid w:val="008670BA"/>
    <w:rPr>
      <w:rFonts w:ascii="Times New Roman" w:hAnsi="Times New Roman"/>
      <w:sz w:val="18"/>
      <w:szCs w:val="24"/>
    </w:rPr>
  </w:style>
  <w:style w:type="character" w:styleId="CommentReference">
    <w:name w:val="annotation reference"/>
    <w:basedOn w:val="DefaultParagraphFont"/>
    <w:uiPriority w:val="99"/>
    <w:semiHidden/>
    <w:unhideWhenUsed/>
    <w:rsid w:val="008670BA"/>
    <w:rPr>
      <w:sz w:val="18"/>
      <w:szCs w:val="18"/>
    </w:rPr>
  </w:style>
  <w:style w:type="paragraph" w:styleId="CommentText">
    <w:name w:val="annotation text"/>
    <w:basedOn w:val="Normal"/>
    <w:link w:val="CommentTextChar"/>
    <w:uiPriority w:val="99"/>
    <w:unhideWhenUsed/>
    <w:rsid w:val="008670BA"/>
    <w:rPr>
      <w:sz w:val="24"/>
    </w:rPr>
  </w:style>
  <w:style w:type="character" w:customStyle="1" w:styleId="CommentTextChar">
    <w:name w:val="Comment Text Char"/>
    <w:basedOn w:val="DefaultParagraphFont"/>
    <w:link w:val="CommentText"/>
    <w:uiPriority w:val="99"/>
    <w:rsid w:val="008670B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670BA"/>
    <w:rPr>
      <w:b/>
      <w:bCs/>
      <w:sz w:val="20"/>
      <w:szCs w:val="20"/>
    </w:rPr>
  </w:style>
  <w:style w:type="character" w:customStyle="1" w:styleId="CommentSubjectChar">
    <w:name w:val="Comment Subject Char"/>
    <w:basedOn w:val="CommentTextChar"/>
    <w:link w:val="CommentSubject"/>
    <w:uiPriority w:val="99"/>
    <w:semiHidden/>
    <w:rsid w:val="008670BA"/>
    <w:rPr>
      <w:rFonts w:ascii="Times New Roman" w:hAnsi="Times New Roman"/>
      <w:b/>
      <w:bCs/>
      <w:sz w:val="24"/>
      <w:szCs w:val="24"/>
    </w:rPr>
  </w:style>
  <w:style w:type="paragraph" w:styleId="BalloonText">
    <w:name w:val="Balloon Text"/>
    <w:basedOn w:val="Normal"/>
    <w:link w:val="BalloonTextChar"/>
    <w:uiPriority w:val="99"/>
    <w:semiHidden/>
    <w:unhideWhenUsed/>
    <w:rsid w:val="008670BA"/>
    <w:pPr>
      <w:spacing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8670BA"/>
    <w:rPr>
      <w:rFonts w:ascii="Lucida Grande" w:hAnsi="Lucida Grande" w:cs="Lucida Grande"/>
      <w:sz w:val="18"/>
      <w:szCs w:val="18"/>
    </w:rPr>
  </w:style>
  <w:style w:type="character" w:customStyle="1" w:styleId="apple-style-span">
    <w:name w:val="apple-style-span"/>
    <w:basedOn w:val="DefaultParagraphFont"/>
    <w:rsid w:val="00776D47"/>
  </w:style>
  <w:style w:type="character" w:customStyle="1" w:styleId="apple-converted-space">
    <w:name w:val="apple-converted-space"/>
    <w:rsid w:val="0077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382">
      <w:bodyDiv w:val="1"/>
      <w:marLeft w:val="0"/>
      <w:marRight w:val="0"/>
      <w:marTop w:val="0"/>
      <w:marBottom w:val="0"/>
      <w:divBdr>
        <w:top w:val="none" w:sz="0" w:space="0" w:color="auto"/>
        <w:left w:val="none" w:sz="0" w:space="0" w:color="auto"/>
        <w:bottom w:val="none" w:sz="0" w:space="0" w:color="auto"/>
        <w:right w:val="none" w:sz="0" w:space="0" w:color="auto"/>
      </w:divBdr>
    </w:div>
    <w:div w:id="275261796">
      <w:bodyDiv w:val="1"/>
      <w:marLeft w:val="0"/>
      <w:marRight w:val="0"/>
      <w:marTop w:val="0"/>
      <w:marBottom w:val="0"/>
      <w:divBdr>
        <w:top w:val="none" w:sz="0" w:space="0" w:color="auto"/>
        <w:left w:val="none" w:sz="0" w:space="0" w:color="auto"/>
        <w:bottom w:val="none" w:sz="0" w:space="0" w:color="auto"/>
        <w:right w:val="none" w:sz="0" w:space="0" w:color="auto"/>
      </w:divBdr>
    </w:div>
    <w:div w:id="438961604">
      <w:bodyDiv w:val="1"/>
      <w:marLeft w:val="0"/>
      <w:marRight w:val="0"/>
      <w:marTop w:val="0"/>
      <w:marBottom w:val="0"/>
      <w:divBdr>
        <w:top w:val="none" w:sz="0" w:space="0" w:color="auto"/>
        <w:left w:val="none" w:sz="0" w:space="0" w:color="auto"/>
        <w:bottom w:val="none" w:sz="0" w:space="0" w:color="auto"/>
        <w:right w:val="none" w:sz="0" w:space="0" w:color="auto"/>
      </w:divBdr>
    </w:div>
    <w:div w:id="470098437">
      <w:bodyDiv w:val="1"/>
      <w:marLeft w:val="0"/>
      <w:marRight w:val="0"/>
      <w:marTop w:val="0"/>
      <w:marBottom w:val="0"/>
      <w:divBdr>
        <w:top w:val="none" w:sz="0" w:space="0" w:color="auto"/>
        <w:left w:val="none" w:sz="0" w:space="0" w:color="auto"/>
        <w:bottom w:val="none" w:sz="0" w:space="0" w:color="auto"/>
        <w:right w:val="none" w:sz="0" w:space="0" w:color="auto"/>
      </w:divBdr>
    </w:div>
    <w:div w:id="868907524">
      <w:bodyDiv w:val="1"/>
      <w:marLeft w:val="0"/>
      <w:marRight w:val="0"/>
      <w:marTop w:val="0"/>
      <w:marBottom w:val="0"/>
      <w:divBdr>
        <w:top w:val="none" w:sz="0" w:space="0" w:color="auto"/>
        <w:left w:val="none" w:sz="0" w:space="0" w:color="auto"/>
        <w:bottom w:val="none" w:sz="0" w:space="0" w:color="auto"/>
        <w:right w:val="none" w:sz="0" w:space="0" w:color="auto"/>
      </w:divBdr>
    </w:div>
    <w:div w:id="1088691238">
      <w:bodyDiv w:val="1"/>
      <w:marLeft w:val="0"/>
      <w:marRight w:val="0"/>
      <w:marTop w:val="0"/>
      <w:marBottom w:val="0"/>
      <w:divBdr>
        <w:top w:val="none" w:sz="0" w:space="0" w:color="auto"/>
        <w:left w:val="none" w:sz="0" w:space="0" w:color="auto"/>
        <w:bottom w:val="none" w:sz="0" w:space="0" w:color="auto"/>
        <w:right w:val="none" w:sz="0" w:space="0" w:color="auto"/>
      </w:divBdr>
    </w:div>
    <w:div w:id="1219442219">
      <w:bodyDiv w:val="1"/>
      <w:marLeft w:val="0"/>
      <w:marRight w:val="0"/>
      <w:marTop w:val="0"/>
      <w:marBottom w:val="0"/>
      <w:divBdr>
        <w:top w:val="none" w:sz="0" w:space="0" w:color="auto"/>
        <w:left w:val="none" w:sz="0" w:space="0" w:color="auto"/>
        <w:bottom w:val="none" w:sz="0" w:space="0" w:color="auto"/>
        <w:right w:val="none" w:sz="0" w:space="0" w:color="auto"/>
      </w:divBdr>
    </w:div>
    <w:div w:id="1292250148">
      <w:bodyDiv w:val="1"/>
      <w:marLeft w:val="0"/>
      <w:marRight w:val="0"/>
      <w:marTop w:val="0"/>
      <w:marBottom w:val="0"/>
      <w:divBdr>
        <w:top w:val="none" w:sz="0" w:space="0" w:color="auto"/>
        <w:left w:val="none" w:sz="0" w:space="0" w:color="auto"/>
        <w:bottom w:val="none" w:sz="0" w:space="0" w:color="auto"/>
        <w:right w:val="none" w:sz="0" w:space="0" w:color="auto"/>
      </w:divBdr>
    </w:div>
    <w:div w:id="1388719383">
      <w:bodyDiv w:val="1"/>
      <w:marLeft w:val="0"/>
      <w:marRight w:val="0"/>
      <w:marTop w:val="0"/>
      <w:marBottom w:val="0"/>
      <w:divBdr>
        <w:top w:val="none" w:sz="0" w:space="0" w:color="auto"/>
        <w:left w:val="none" w:sz="0" w:space="0" w:color="auto"/>
        <w:bottom w:val="none" w:sz="0" w:space="0" w:color="auto"/>
        <w:right w:val="none" w:sz="0" w:space="0" w:color="auto"/>
      </w:divBdr>
    </w:div>
    <w:div w:id="1411612567">
      <w:bodyDiv w:val="1"/>
      <w:marLeft w:val="0"/>
      <w:marRight w:val="0"/>
      <w:marTop w:val="0"/>
      <w:marBottom w:val="0"/>
      <w:divBdr>
        <w:top w:val="none" w:sz="0" w:space="0" w:color="auto"/>
        <w:left w:val="none" w:sz="0" w:space="0" w:color="auto"/>
        <w:bottom w:val="none" w:sz="0" w:space="0" w:color="auto"/>
        <w:right w:val="none" w:sz="0" w:space="0" w:color="auto"/>
      </w:divBdr>
    </w:div>
    <w:div w:id="1561478149">
      <w:bodyDiv w:val="1"/>
      <w:marLeft w:val="0"/>
      <w:marRight w:val="0"/>
      <w:marTop w:val="0"/>
      <w:marBottom w:val="0"/>
      <w:divBdr>
        <w:top w:val="none" w:sz="0" w:space="0" w:color="auto"/>
        <w:left w:val="none" w:sz="0" w:space="0" w:color="auto"/>
        <w:bottom w:val="none" w:sz="0" w:space="0" w:color="auto"/>
        <w:right w:val="none" w:sz="0" w:space="0" w:color="auto"/>
      </w:divBdr>
    </w:div>
    <w:div w:id="1829859787">
      <w:bodyDiv w:val="1"/>
      <w:marLeft w:val="0"/>
      <w:marRight w:val="0"/>
      <w:marTop w:val="0"/>
      <w:marBottom w:val="0"/>
      <w:divBdr>
        <w:top w:val="none" w:sz="0" w:space="0" w:color="auto"/>
        <w:left w:val="none" w:sz="0" w:space="0" w:color="auto"/>
        <w:bottom w:val="none" w:sz="0" w:space="0" w:color="auto"/>
        <w:right w:val="none" w:sz="0" w:space="0" w:color="auto"/>
      </w:divBdr>
    </w:div>
    <w:div w:id="1836262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galAdvisor@WomenEnabled.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omenEnabled.org" TargetMode="External"/><Relationship Id="rId10" Type="http://schemas.openxmlformats.org/officeDocument/2006/relationships/hyperlink" Target="mailto:President@WomenEnable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productiverights.org/press-room/12-countries-call-on-el-salvador-to-decriminalize-abor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FBE2-F7CF-7245-BA68-E6AC4D68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2069</Words>
  <Characters>11797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Phillips</dc:creator>
  <cp:keywords/>
  <dc:description/>
  <cp:lastModifiedBy>Suzannah Phillips</cp:lastModifiedBy>
  <cp:revision>7</cp:revision>
  <cp:lastPrinted>2015-04-28T19:17:00Z</cp:lastPrinted>
  <dcterms:created xsi:type="dcterms:W3CDTF">2015-06-12T03:35:00Z</dcterms:created>
  <dcterms:modified xsi:type="dcterms:W3CDTF">2015-06-12T03:56:00Z</dcterms:modified>
</cp:coreProperties>
</file>